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4CEB" w:rsidRPr="00063B38" w:rsidRDefault="004B4CEB" w:rsidP="004B4CEB">
      <w:pPr>
        <w:jc w:val="center"/>
        <w:rPr>
          <w:rFonts w:ascii="Calibri" w:eastAsia="Calibri" w:hAnsi="Calibri" w:cs="Times New Roman"/>
          <w:sz w:val="72"/>
          <w:szCs w:val="72"/>
        </w:rPr>
      </w:pPr>
      <w:r w:rsidRPr="00063B38">
        <w:rPr>
          <w:rFonts w:ascii="Calibri" w:eastAsia="Calibri" w:hAnsi="Calibri" w:cs="Times New Roman"/>
          <w:sz w:val="72"/>
          <w:szCs w:val="72"/>
        </w:rPr>
        <w:t>Early Years Maths Audit</w:t>
      </w:r>
    </w:p>
    <w:p w:rsidR="004B4CEB" w:rsidRPr="00063B38" w:rsidRDefault="004B4CEB" w:rsidP="004B4CEB">
      <w:pPr>
        <w:rPr>
          <w:rFonts w:eastAsia="Calibri" w:cs="Arial"/>
          <w:szCs w:val="24"/>
        </w:rPr>
      </w:pPr>
      <w:r w:rsidRPr="00063B38">
        <w:rPr>
          <w:rFonts w:eastAsia="Calibri" w:cs="Arial"/>
          <w:szCs w:val="24"/>
        </w:rPr>
        <w:t xml:space="preserve">The purpose of this audit is to help practitioners to develop their understanding and practice for the Specific Area of Maths. </w:t>
      </w:r>
    </w:p>
    <w:p w:rsidR="004B4CEB" w:rsidRDefault="004B4CEB" w:rsidP="004B4CEB">
      <w:pPr>
        <w:rPr>
          <w:rFonts w:eastAsia="Calibri" w:cs="Arial"/>
          <w:szCs w:val="24"/>
        </w:rPr>
      </w:pPr>
      <w:r w:rsidRPr="00063B38">
        <w:rPr>
          <w:rFonts w:eastAsia="Calibri" w:cs="Arial"/>
          <w:szCs w:val="24"/>
        </w:rPr>
        <w:t>For</w:t>
      </w:r>
      <w:r w:rsidRPr="00063B38">
        <w:rPr>
          <w:rFonts w:eastAsia="Calibri" w:cs="Arial"/>
          <w:szCs w:val="24"/>
        </w:rPr>
        <w:t xml:space="preserve"> environments to be mathematically rich and to impact on children’s learning, they must be interactive, inclusive, usable, organised and changeable. </w:t>
      </w:r>
    </w:p>
    <w:p w:rsidR="004B4CEB" w:rsidRPr="00063B38" w:rsidRDefault="004B4CEB" w:rsidP="004B4CEB">
      <w:pPr>
        <w:rPr>
          <w:rFonts w:eastAsia="Calibri" w:cs="Arial"/>
          <w:szCs w:val="24"/>
        </w:rPr>
      </w:pPr>
      <w:r w:rsidRPr="00063B38">
        <w:rPr>
          <w:rFonts w:eastAsia="Calibri" w:cs="Arial"/>
          <w:szCs w:val="24"/>
        </w:rPr>
        <w:t>To achieve this, practitioners need to look at the environment through ‘a child’s eyes</w:t>
      </w:r>
      <w:r>
        <w:rPr>
          <w:rFonts w:eastAsia="Calibri" w:cs="Arial"/>
          <w:szCs w:val="24"/>
        </w:rPr>
        <w:t>’</w:t>
      </w:r>
      <w:r w:rsidRPr="00063B38">
        <w:rPr>
          <w:rFonts w:eastAsia="Calibri" w:cs="Arial"/>
          <w:szCs w:val="24"/>
        </w:rPr>
        <w:t xml:space="preserve">. </w:t>
      </w:r>
    </w:p>
    <w:p w:rsidR="004B4CEB" w:rsidRPr="00063B38" w:rsidRDefault="004B4CEB" w:rsidP="004B4CEB">
      <w:pPr>
        <w:rPr>
          <w:rFonts w:eastAsia="Calibri" w:cs="Arial"/>
          <w:szCs w:val="24"/>
        </w:rPr>
        <w:sectPr w:rsidR="004B4CEB" w:rsidRPr="00063B38" w:rsidSect="007D3392">
          <w:footerReference w:type="defaul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4B4CEB" w:rsidRPr="00063B38" w:rsidRDefault="004B4CEB" w:rsidP="004B4CEB">
      <w:pPr>
        <w:rPr>
          <w:rFonts w:eastAsia="Calibri" w:cs="Arial"/>
          <w:szCs w:val="24"/>
        </w:rPr>
      </w:pPr>
      <w:r w:rsidRPr="00063B38">
        <w:rPr>
          <w:rFonts w:eastAsia="Calibri" w:cs="Arial"/>
          <w:szCs w:val="24"/>
        </w:rPr>
        <w:t>Name of setting…………………………………………………</w:t>
      </w:r>
    </w:p>
    <w:p w:rsidR="004B4CEB" w:rsidRPr="00063B38" w:rsidRDefault="004B4CEB" w:rsidP="004B4CEB">
      <w:pPr>
        <w:rPr>
          <w:rFonts w:eastAsia="Calibri" w:cs="Arial"/>
          <w:szCs w:val="24"/>
        </w:rPr>
        <w:sectPr w:rsidR="004B4CEB" w:rsidRPr="00063B38" w:rsidSect="00F078EA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ECA6D8" wp14:editId="7CC9AB18">
            <wp:simplePos x="0" y="0"/>
            <wp:positionH relativeFrom="column">
              <wp:posOffset>1649095</wp:posOffset>
            </wp:positionH>
            <wp:positionV relativeFrom="paragraph">
              <wp:posOffset>1016000</wp:posOffset>
            </wp:positionV>
            <wp:extent cx="2495550" cy="1543050"/>
            <wp:effectExtent l="19050" t="19050" r="19050" b="19050"/>
            <wp:wrapThrough wrapText="bothSides">
              <wp:wrapPolygon edited="0">
                <wp:start x="-165" y="-267"/>
                <wp:lineTo x="-165" y="21600"/>
                <wp:lineTo x="21600" y="21600"/>
                <wp:lineTo x="21600" y="-267"/>
                <wp:lineTo x="-165" y="-26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2" b="8336"/>
                    <a:stretch/>
                  </pic:blipFill>
                  <pic:spPr bwMode="auto">
                    <a:xfrm>
                      <a:off x="0" y="0"/>
                      <a:ext cx="2495550" cy="15430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27235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B38">
        <w:rPr>
          <w:rFonts w:eastAsia="Calibri" w:cs="Arial"/>
          <w:szCs w:val="24"/>
        </w:rPr>
        <w:t>Person completing audit………………………………………</w:t>
      </w:r>
    </w:p>
    <w:p w:rsidR="004B4CEB" w:rsidRPr="00063B38" w:rsidRDefault="004B4CEB" w:rsidP="004B4CEB">
      <w:pPr>
        <w:rPr>
          <w:rFonts w:eastAsia="Calibri" w:cs="Arial"/>
          <w:szCs w:val="24"/>
        </w:rPr>
      </w:pPr>
      <w:r w:rsidRPr="00063B38">
        <w:rPr>
          <w:rFonts w:eastAsia="Calibri" w:cs="Arial"/>
          <w:szCs w:val="24"/>
        </w:rPr>
        <w:t>Date started……………………………………………………..</w:t>
      </w:r>
    </w:p>
    <w:p w:rsidR="004B4CEB" w:rsidRPr="00063B38" w:rsidRDefault="004B4CEB" w:rsidP="004B4CEB">
      <w:pPr>
        <w:rPr>
          <w:rFonts w:eastAsia="Calibri" w:cs="Arial"/>
          <w:szCs w:val="24"/>
        </w:rPr>
      </w:pPr>
      <w:r w:rsidRPr="00063B38">
        <w:rPr>
          <w:rFonts w:eastAsia="Calibri" w:cs="Arial"/>
          <w:szCs w:val="24"/>
        </w:rPr>
        <w:t>Date revisited…………………………………………………..</w:t>
      </w:r>
    </w:p>
    <w:p w:rsidR="004B4CEB" w:rsidRDefault="004B4CEB" w:rsidP="004B4CEB">
      <w:pPr>
        <w:jc w:val="center"/>
        <w:rPr>
          <w:rFonts w:eastAsia="Calibri" w:cs="Arial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B5B6DF" wp14:editId="59356C4A">
            <wp:simplePos x="0" y="0"/>
            <wp:positionH relativeFrom="column">
              <wp:posOffset>-107315</wp:posOffset>
            </wp:positionH>
            <wp:positionV relativeFrom="paragraph">
              <wp:posOffset>163830</wp:posOffset>
            </wp:positionV>
            <wp:extent cx="3149600" cy="1428750"/>
            <wp:effectExtent l="19050" t="19050" r="12700" b="19050"/>
            <wp:wrapThrough wrapText="bothSides">
              <wp:wrapPolygon edited="0">
                <wp:start x="-131" y="-288"/>
                <wp:lineTo x="-131" y="21600"/>
                <wp:lineTo x="21556" y="21600"/>
                <wp:lineTo x="21556" y="-288"/>
                <wp:lineTo x="-131" y="-288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" t="9920" r="574" b="24626"/>
                    <a:stretch/>
                  </pic:blipFill>
                  <pic:spPr bwMode="auto">
                    <a:xfrm>
                      <a:off x="0" y="0"/>
                      <a:ext cx="3149600" cy="1428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27235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1884692" wp14:editId="14083A44">
            <wp:simplePos x="0" y="0"/>
            <wp:positionH relativeFrom="column">
              <wp:posOffset>3486150</wp:posOffset>
            </wp:positionH>
            <wp:positionV relativeFrom="paragraph">
              <wp:posOffset>1123315</wp:posOffset>
            </wp:positionV>
            <wp:extent cx="2275205" cy="1543050"/>
            <wp:effectExtent l="19050" t="19050" r="10795" b="19050"/>
            <wp:wrapThrough wrapText="bothSides">
              <wp:wrapPolygon edited="0">
                <wp:start x="-181" y="-267"/>
                <wp:lineTo x="-181" y="21600"/>
                <wp:lineTo x="21522" y="21600"/>
                <wp:lineTo x="21522" y="-267"/>
                <wp:lineTo x="-181" y="-267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4" b="1797"/>
                    <a:stretch/>
                  </pic:blipFill>
                  <pic:spPr bwMode="auto">
                    <a:xfrm>
                      <a:off x="0" y="0"/>
                      <a:ext cx="2275205" cy="1543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27235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CEB" w:rsidRPr="00063B38" w:rsidRDefault="004B4CEB" w:rsidP="004B4CEB">
      <w:pPr>
        <w:jc w:val="center"/>
        <w:rPr>
          <w:rFonts w:eastAsia="Calibri" w:cs="Arial"/>
          <w:szCs w:val="24"/>
        </w:rPr>
        <w:sectPr w:rsidR="004B4CEB" w:rsidRPr="00063B38" w:rsidSect="00F078EA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062"/>
        <w:gridCol w:w="1024"/>
        <w:gridCol w:w="3544"/>
        <w:gridCol w:w="3544"/>
      </w:tblGrid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In place</w:t>
            </w: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Evidence</w:t>
            </w: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Actions</w:t>
            </w:r>
          </w:p>
        </w:tc>
      </w:tr>
      <w:tr w:rsidR="004B4CEB" w:rsidRPr="00063B38" w:rsidTr="00CD5EA4">
        <w:tc>
          <w:tcPr>
            <w:tcW w:w="6062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rPr>
                <w:rFonts w:eastAsia="Calibri" w:cs="Arial"/>
                <w:b/>
                <w:szCs w:val="24"/>
              </w:rPr>
            </w:pPr>
            <w:r w:rsidRPr="00063B38">
              <w:rPr>
                <w:rFonts w:eastAsia="Calibri" w:cs="Arial"/>
                <w:b/>
                <w:szCs w:val="24"/>
              </w:rPr>
              <w:t>Staff knowledge and attitudes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There is a shared understanding of how children develop mathematically amongst the staff – knowledge, concepts, values, importance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Mathematical development and the skills required for children to develop mathematically are communicated to parents through newsletters, displays, workshops and meetings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 xml:space="preserve">Everyone has a chance to be mathematical (children, parents/carers and staff) 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jc w:val="both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 xml:space="preserve">Staff are aware of their training needs for maths and CPD opportunities are provided 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jc w:val="both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use every opportunity to support, model and develop mathematical language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jc w:val="both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recognise mathematical opportunities in all areas of the provision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jc w:val="both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model and encourage problem solving and critical thinking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jc w:val="both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ensure that pictorial recording and mark making are encouraged as part of the learning process for Maths as well as for Literacy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both"/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b/>
                <w:szCs w:val="24"/>
              </w:rPr>
              <w:t>Observation, Assessment and Planning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 xml:space="preserve">Staff use observation to identify </w:t>
            </w:r>
            <w:r w:rsidRPr="00063B38">
              <w:rPr>
                <w:rFonts w:eastAsia="Calibri" w:cs="Arial"/>
                <w:i/>
                <w:szCs w:val="24"/>
              </w:rPr>
              <w:t>what</w:t>
            </w:r>
            <w:r w:rsidRPr="00063B38">
              <w:rPr>
                <w:rFonts w:eastAsia="Calibri" w:cs="Arial"/>
                <w:szCs w:val="24"/>
              </w:rPr>
              <w:t xml:space="preserve"> children know and show in maths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 xml:space="preserve">Staff use observation to note </w:t>
            </w:r>
            <w:r w:rsidRPr="00063B38">
              <w:rPr>
                <w:rFonts w:eastAsia="Calibri" w:cs="Arial"/>
                <w:i/>
                <w:szCs w:val="24"/>
              </w:rPr>
              <w:t>how</w:t>
            </w:r>
            <w:r w:rsidRPr="00063B38">
              <w:rPr>
                <w:rFonts w:eastAsia="Calibri" w:cs="Arial"/>
                <w:szCs w:val="24"/>
              </w:rPr>
              <w:t xml:space="preserve"> children use their mathematical knowledge</w:t>
            </w:r>
          </w:p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use assessments to track children’s mathematical development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use assessments to inform planning for mathematical development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lastRenderedPageBreak/>
              <w:t>Staff plan focused maths experiences to deepen mathematical understanding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color w:val="FF0000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plan for an environment which supports children in making decisions about their own mathematical development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2D5236">
              <w:rPr>
                <w:rFonts w:eastAsia="Calibri" w:cs="Arial"/>
                <w:szCs w:val="24"/>
              </w:rPr>
              <w:t>Staff plan for STEM activities and experiences (Science, Technology, Engineering and Maths) which encourage children to ask questions, investigate, make predictions and test ideas.</w:t>
            </w:r>
            <w:r>
              <w:rPr>
                <w:rFonts w:eastAsia="Calibri" w:cs="Arial"/>
                <w:szCs w:val="24"/>
              </w:rPr>
              <w:t xml:space="preserve"> 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motivate children to use maths throughout their play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use every day routines to support children’s mathematical understanding and vocabulary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rPr>
                <w:rFonts w:eastAsia="Calibri" w:cs="Arial"/>
                <w:b/>
                <w:szCs w:val="24"/>
              </w:rPr>
            </w:pPr>
            <w:r w:rsidRPr="00063B38">
              <w:rPr>
                <w:rFonts w:eastAsia="Calibri" w:cs="Arial"/>
                <w:b/>
                <w:szCs w:val="24"/>
              </w:rPr>
              <w:t>Inclusive practice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 xml:space="preserve">Staff understand cultural perspectives on maths relevant to all children currently in the setting  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Staff make adaptations to ensure all children are included in mathematical experiences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Resources and interest areas are labelled, with words, pictures, numbers and/or real objects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Open ended results are acknowledged and the chance to be wrong, make mistakes and test out theories is valued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  <w:shd w:val="clear" w:color="auto" w:fill="auto"/>
          </w:tcPr>
          <w:p w:rsidR="004B4CEB" w:rsidRPr="00063B38" w:rsidRDefault="004B4CEB" w:rsidP="004B4CEB">
            <w:pPr>
              <w:rPr>
                <w:rFonts w:eastAsia="Calibri" w:cs="Arial"/>
                <w:color w:val="FF0000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Children are actively encouraged and given time to explain their mathematical thinking to adults and children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1D6CFA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 xml:space="preserve">Children’s mathematical ideas, interests and fascinations are followed up 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b/>
                <w:szCs w:val="24"/>
              </w:rPr>
              <w:t>Enabling Environments - Displays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Displays include numbers that have been typed and handwritten by both adults and children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color w:val="000000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 xml:space="preserve">Displays celebrate children’s achievements in mathematics 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Children have opportunities to display their own mathematical mark making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lastRenderedPageBreak/>
              <w:t>Displays include numerals in the environment and in everyday life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Displays are interactive and are used to promote children’s exploration and curiosity of mathematics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Default="004B4CEB" w:rsidP="00CD5EA4">
            <w:pPr>
              <w:rPr>
                <w:rFonts w:eastAsia="Calibri" w:cs="Arial"/>
                <w:color w:val="000000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Visual aids such as timetables are used effectively</w:t>
            </w:r>
          </w:p>
          <w:p w:rsidR="004B4CEB" w:rsidRPr="00063B38" w:rsidRDefault="004B4CEB" w:rsidP="00CD5EA4">
            <w:pPr>
              <w:rPr>
                <w:rFonts w:eastAsia="Calibri" w:cs="Arial"/>
                <w:color w:val="000000"/>
                <w:szCs w:val="24"/>
              </w:rPr>
            </w:pP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color w:val="000000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Numbers are displayed in English and other languages and scripts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color w:val="000000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>Numerals, words and number patterns are displayed in a meaningful way (inside and outside)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b/>
                <w:color w:val="000000"/>
                <w:szCs w:val="24"/>
              </w:rPr>
              <w:t>Enabling Environments - Resources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color w:val="000000"/>
                <w:szCs w:val="24"/>
              </w:rPr>
            </w:pPr>
            <w:r>
              <w:rPr>
                <w:rFonts w:eastAsia="Calibri" w:cs="Arial"/>
                <w:color w:val="000000"/>
                <w:szCs w:val="24"/>
              </w:rPr>
              <w:t>I</w:t>
            </w:r>
            <w:r w:rsidRPr="00063B38">
              <w:rPr>
                <w:rFonts w:eastAsia="Calibri" w:cs="Arial"/>
                <w:color w:val="000000"/>
                <w:szCs w:val="24"/>
              </w:rPr>
              <w:t>nvestigation of maths is encouraged through a diverse range of resources and experiences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Mathematical resources are accessible throughout the environment, as well as within the mathematics area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szCs w:val="24"/>
              </w:rPr>
              <w:t xml:space="preserve">Children’s ways of recording measuring (capacity, length, mass, time) using standard and non-standard methods is evident  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The outdoor environment complements and extends the indoor environment regarding maths</w:t>
            </w:r>
          </w:p>
          <w:p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bCs/>
                <w:color w:val="000000"/>
                <w:szCs w:val="24"/>
                <w:lang w:val="en-US"/>
              </w:rPr>
              <w:t xml:space="preserve">All environments are </w:t>
            </w: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well organised, inviting and challenging</w:t>
            </w:r>
          </w:p>
          <w:p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bCs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bCs/>
                <w:color w:val="000000"/>
                <w:szCs w:val="24"/>
                <w:lang w:val="en-US"/>
              </w:rPr>
              <w:t xml:space="preserve">There are resources and </w:t>
            </w: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opportunities for</w:t>
            </w:r>
            <w:r w:rsidRPr="00063B38">
              <w:rPr>
                <w:rFonts w:eastAsia="Times New Roman" w:cs="Arial"/>
                <w:bCs/>
                <w:color w:val="000000"/>
                <w:szCs w:val="24"/>
                <w:lang w:val="en-US"/>
              </w:rPr>
              <w:t xml:space="preserve"> maths to take place on a large and small scale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Adults encourage children to sort and match including at tidy up time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FF0000"/>
                <w:szCs w:val="24"/>
                <w:lang w:val="en-US"/>
              </w:rPr>
            </w:pPr>
            <w:r w:rsidRPr="00063B38">
              <w:rPr>
                <w:rFonts w:eastAsia="Times New Roman" w:cs="Arial"/>
                <w:szCs w:val="24"/>
                <w:lang w:val="en-US"/>
              </w:rPr>
              <w:t>Children access resources and return them independently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4B4CEB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lastRenderedPageBreak/>
              <w:t>Children can explore mathematics through movement, e.g. dance, obstacle courses, den-making, travelling games, construction on a large scale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bCs/>
                <w:color w:val="000000"/>
                <w:szCs w:val="24"/>
                <w:lang w:val="en-US"/>
              </w:rPr>
              <w:t>Resources to encourage ordering and pattern making</w:t>
            </w: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 xml:space="preserve"> are available e.g. a washing line at child height so that children can peg numerals in the correct order or objects to make repeating patterns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4B4CEB">
        <w:trPr>
          <w:trHeight w:val="879"/>
        </w:trPr>
        <w:tc>
          <w:tcPr>
            <w:tcW w:w="6062" w:type="dxa"/>
          </w:tcPr>
          <w:p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FF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Opportunities for mathematical mark making are available on a large and small scale both inside and outside</w:t>
            </w:r>
            <w:r>
              <w:rPr>
                <w:rFonts w:eastAsia="Times New Roman" w:cs="Arial"/>
                <w:color w:val="000000"/>
                <w:szCs w:val="24"/>
                <w:lang w:val="en-US"/>
              </w:rPr>
              <w:t>.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Playground markings or chalked markings support mathematics e.g. shapes, numerals, tracks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4B4CEB">
            <w:pPr>
              <w:rPr>
                <w:rFonts w:eastAsia="Calibri" w:cs="Arial"/>
                <w:color w:val="000000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Number tracks, number squares and a height chart are accessible and used</w:t>
            </w:r>
            <w:r>
              <w:rPr>
                <w:rFonts w:eastAsia="Calibri" w:cs="Arial"/>
                <w:color w:val="000000"/>
                <w:szCs w:val="24"/>
              </w:rPr>
              <w:t>.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rPr>
                <w:rFonts w:eastAsia="Calibri" w:cs="Arial"/>
                <w:color w:val="000000"/>
                <w:szCs w:val="24"/>
              </w:rPr>
            </w:pPr>
            <w:r w:rsidRPr="00063B38">
              <w:rPr>
                <w:rFonts w:eastAsia="Calibri" w:cs="Arial"/>
                <w:color w:val="000000"/>
                <w:szCs w:val="24"/>
              </w:rPr>
              <w:t>A variety of resources and ‘targets’ to support scoring and the use of tallies, e.g. basket-ball hoops, beanbags, quoits, skittles are easily available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Story and information texts that support understanding are accessible and attention is drawn to the mathematical content in an appropriate age</w:t>
            </w:r>
            <w:r>
              <w:rPr>
                <w:rFonts w:eastAsia="Times New Roman" w:cs="Arial"/>
                <w:color w:val="000000"/>
                <w:szCs w:val="24"/>
                <w:lang w:val="en-US"/>
              </w:rPr>
              <w:t>-</w:t>
            </w: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>related way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 xml:space="preserve">There is a balance between natural and </w:t>
            </w:r>
          </w:p>
          <w:p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 xml:space="preserve">commercially produced resources to support mathematical exploration 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CD5EA4">
        <w:tc>
          <w:tcPr>
            <w:tcW w:w="6062" w:type="dxa"/>
          </w:tcPr>
          <w:p w:rsidR="004B4CEB" w:rsidRPr="00063B38" w:rsidRDefault="004B4CEB" w:rsidP="00CD5EA4">
            <w:pPr>
              <w:autoSpaceDE w:val="0"/>
              <w:autoSpaceDN w:val="0"/>
              <w:adjustRightInd w:val="0"/>
              <w:spacing w:line="201" w:lineRule="atLeast"/>
              <w:rPr>
                <w:rFonts w:eastAsia="Times New Roman" w:cs="Arial"/>
                <w:color w:val="000000"/>
                <w:szCs w:val="24"/>
                <w:lang w:val="en-US"/>
              </w:rPr>
            </w:pP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 xml:space="preserve">Children access games supporting mathematical development independently e.g. lotto, snap, dominoes, track games 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  <w:tr w:rsidR="004B4CEB" w:rsidRPr="00063B38" w:rsidTr="004B4CEB">
        <w:trPr>
          <w:trHeight w:val="1126"/>
        </w:trPr>
        <w:tc>
          <w:tcPr>
            <w:tcW w:w="6062" w:type="dxa"/>
          </w:tcPr>
          <w:p w:rsidR="004B4CEB" w:rsidRPr="00063B38" w:rsidRDefault="004B4CEB" w:rsidP="004B4CEB">
            <w:pPr>
              <w:autoSpaceDE w:val="0"/>
              <w:autoSpaceDN w:val="0"/>
              <w:adjustRightInd w:val="0"/>
              <w:spacing w:line="201" w:lineRule="atLeast"/>
              <w:rPr>
                <w:rFonts w:eastAsia="Calibri" w:cs="Arial"/>
                <w:color w:val="000000"/>
                <w:szCs w:val="24"/>
              </w:rPr>
            </w:pPr>
            <w:r w:rsidRPr="00063B38">
              <w:rPr>
                <w:rFonts w:eastAsia="Times New Roman" w:cs="Arial"/>
                <w:bCs/>
                <w:szCs w:val="24"/>
                <w:lang w:val="en-US"/>
              </w:rPr>
              <w:t>There are</w:t>
            </w:r>
            <w:r w:rsidRPr="00063B38">
              <w:rPr>
                <w:rFonts w:eastAsia="Times New Roman" w:cs="Arial"/>
                <w:color w:val="000000"/>
                <w:szCs w:val="24"/>
                <w:lang w:val="en-US"/>
              </w:rPr>
              <w:t xml:space="preserve"> ‘collections’ of objects for children to investigate, sort, sequence, count and make patterns with, e.g. age appropriate resources, boxes, buttons, socks, coins, beads, keys</w:t>
            </w:r>
            <w:r>
              <w:rPr>
                <w:rFonts w:eastAsia="Times New Roman" w:cs="Arial"/>
                <w:color w:val="000000"/>
                <w:szCs w:val="24"/>
                <w:lang w:val="en-US"/>
              </w:rPr>
              <w:t>.</w:t>
            </w:r>
          </w:p>
        </w:tc>
        <w:tc>
          <w:tcPr>
            <w:tcW w:w="102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  <w:tc>
          <w:tcPr>
            <w:tcW w:w="3544" w:type="dxa"/>
          </w:tcPr>
          <w:p w:rsidR="004B4CEB" w:rsidRPr="00063B38" w:rsidRDefault="004B4CEB" w:rsidP="00CD5EA4">
            <w:pPr>
              <w:jc w:val="center"/>
              <w:rPr>
                <w:rFonts w:eastAsia="Calibri" w:cs="Arial"/>
                <w:szCs w:val="24"/>
              </w:rPr>
            </w:pPr>
          </w:p>
        </w:tc>
      </w:tr>
    </w:tbl>
    <w:p w:rsidR="008C0B25" w:rsidRPr="004B4CEB" w:rsidRDefault="008C0B25" w:rsidP="008C0B25">
      <w:pPr>
        <w:rPr>
          <w:sz w:val="2"/>
          <w:szCs w:val="2"/>
        </w:rPr>
      </w:pPr>
    </w:p>
    <w:p w:rsidR="008C0B25" w:rsidRPr="004B4CEB" w:rsidRDefault="008C0B25" w:rsidP="008C0B25">
      <w:pPr>
        <w:rPr>
          <w:sz w:val="2"/>
          <w:szCs w:val="2"/>
        </w:rPr>
      </w:pPr>
    </w:p>
    <w:p w:rsidR="008C0B25" w:rsidRPr="004B4CEB" w:rsidRDefault="008C0B25" w:rsidP="008C0B25">
      <w:pPr>
        <w:rPr>
          <w:sz w:val="2"/>
          <w:szCs w:val="2"/>
        </w:rPr>
      </w:pPr>
      <w:bookmarkStart w:id="0" w:name="_GoBack"/>
      <w:bookmarkEnd w:id="0"/>
    </w:p>
    <w:p w:rsidR="008C0B25" w:rsidRPr="004B4CEB" w:rsidRDefault="008C0B25" w:rsidP="008C0B25">
      <w:pPr>
        <w:rPr>
          <w:sz w:val="2"/>
          <w:szCs w:val="2"/>
        </w:rPr>
      </w:pPr>
    </w:p>
    <w:p w:rsidR="008C0B25" w:rsidRPr="004B4CEB" w:rsidRDefault="008C0B25" w:rsidP="008C0B25">
      <w:pPr>
        <w:rPr>
          <w:sz w:val="2"/>
          <w:szCs w:val="2"/>
        </w:rPr>
      </w:pPr>
    </w:p>
    <w:p w:rsidR="008C0B25" w:rsidRPr="004B4CEB" w:rsidRDefault="008C0B25" w:rsidP="008C0B25">
      <w:pPr>
        <w:rPr>
          <w:sz w:val="2"/>
          <w:szCs w:val="2"/>
        </w:rPr>
      </w:pPr>
    </w:p>
    <w:p w:rsidR="008C0B25" w:rsidRPr="004B4CEB" w:rsidRDefault="008C0B25" w:rsidP="008C0B25">
      <w:pPr>
        <w:rPr>
          <w:sz w:val="2"/>
          <w:szCs w:val="2"/>
        </w:rPr>
      </w:pPr>
    </w:p>
    <w:p w:rsidR="008C0B25" w:rsidRPr="004B4CEB" w:rsidRDefault="008C0B25" w:rsidP="008C0B25">
      <w:pPr>
        <w:rPr>
          <w:sz w:val="2"/>
          <w:szCs w:val="2"/>
        </w:rPr>
      </w:pPr>
    </w:p>
    <w:p w:rsidR="008C0B25" w:rsidRPr="004B4CEB" w:rsidRDefault="00A922B0" w:rsidP="00A922B0">
      <w:pPr>
        <w:tabs>
          <w:tab w:val="left" w:pos="1833"/>
        </w:tabs>
        <w:rPr>
          <w:sz w:val="2"/>
          <w:szCs w:val="2"/>
        </w:rPr>
      </w:pPr>
      <w:r w:rsidRPr="004B4CEB">
        <w:rPr>
          <w:sz w:val="2"/>
          <w:szCs w:val="2"/>
        </w:rPr>
        <w:tab/>
      </w:r>
    </w:p>
    <w:p w:rsidR="008C0B25" w:rsidRPr="004B4CEB" w:rsidRDefault="008C0B25" w:rsidP="008C0B25">
      <w:pPr>
        <w:tabs>
          <w:tab w:val="left" w:pos="1646"/>
        </w:tabs>
        <w:rPr>
          <w:sz w:val="2"/>
          <w:szCs w:val="2"/>
        </w:rPr>
      </w:pPr>
      <w:r w:rsidRPr="004B4CEB">
        <w:rPr>
          <w:sz w:val="2"/>
          <w:szCs w:val="2"/>
        </w:rPr>
        <w:tab/>
      </w:r>
    </w:p>
    <w:p w:rsidR="008C0B25" w:rsidRPr="004B4CEB" w:rsidRDefault="008C0B25" w:rsidP="008C0B25">
      <w:pPr>
        <w:rPr>
          <w:sz w:val="2"/>
          <w:szCs w:val="2"/>
        </w:rPr>
      </w:pPr>
    </w:p>
    <w:p w:rsidR="008C0B25" w:rsidRPr="004B4CEB" w:rsidRDefault="008C0B25" w:rsidP="008C0B25">
      <w:pPr>
        <w:rPr>
          <w:sz w:val="2"/>
          <w:szCs w:val="2"/>
        </w:rPr>
      </w:pPr>
    </w:p>
    <w:p w:rsidR="008C0B25" w:rsidRPr="004B4CEB" w:rsidRDefault="008C0B25" w:rsidP="008C0B25">
      <w:pPr>
        <w:rPr>
          <w:sz w:val="2"/>
          <w:szCs w:val="2"/>
        </w:rPr>
      </w:pPr>
    </w:p>
    <w:p w:rsidR="008C0B25" w:rsidRPr="004B4CEB" w:rsidRDefault="008C0B25" w:rsidP="008C0B25">
      <w:pPr>
        <w:rPr>
          <w:sz w:val="2"/>
          <w:szCs w:val="2"/>
        </w:rPr>
      </w:pPr>
    </w:p>
    <w:p w:rsidR="008C0B25" w:rsidRPr="004B4CEB" w:rsidRDefault="008C0B25" w:rsidP="008C0B25">
      <w:pPr>
        <w:rPr>
          <w:sz w:val="2"/>
          <w:szCs w:val="2"/>
        </w:rPr>
      </w:pPr>
    </w:p>
    <w:p w:rsidR="008C0B25" w:rsidRPr="004B4CEB" w:rsidRDefault="008C0B25" w:rsidP="008C0B25">
      <w:pPr>
        <w:rPr>
          <w:sz w:val="2"/>
          <w:szCs w:val="2"/>
        </w:rPr>
      </w:pPr>
    </w:p>
    <w:p w:rsidR="008C0B25" w:rsidRPr="004B4CEB" w:rsidRDefault="008C0B25" w:rsidP="008C0B25">
      <w:pPr>
        <w:rPr>
          <w:sz w:val="2"/>
          <w:szCs w:val="2"/>
        </w:rPr>
      </w:pPr>
    </w:p>
    <w:p w:rsidR="008C0B25" w:rsidRPr="004B4CEB" w:rsidRDefault="008C0B25" w:rsidP="008C0B25">
      <w:pPr>
        <w:jc w:val="center"/>
        <w:rPr>
          <w:sz w:val="2"/>
          <w:szCs w:val="2"/>
        </w:rPr>
      </w:pPr>
    </w:p>
    <w:p w:rsidR="008C0B25" w:rsidRPr="004B4CEB" w:rsidRDefault="008C0B25" w:rsidP="008C0B25">
      <w:pPr>
        <w:rPr>
          <w:sz w:val="2"/>
          <w:szCs w:val="2"/>
        </w:rPr>
      </w:pPr>
    </w:p>
    <w:p w:rsidR="00A82EB8" w:rsidRPr="004B4CEB" w:rsidRDefault="008C0B25" w:rsidP="008C0B25">
      <w:pPr>
        <w:tabs>
          <w:tab w:val="left" w:pos="2394"/>
        </w:tabs>
        <w:rPr>
          <w:sz w:val="2"/>
          <w:szCs w:val="2"/>
        </w:rPr>
      </w:pPr>
      <w:r w:rsidRPr="004B4CEB">
        <w:rPr>
          <w:sz w:val="2"/>
          <w:szCs w:val="2"/>
        </w:rPr>
        <w:tab/>
      </w:r>
    </w:p>
    <w:sectPr w:rsidR="00A82EB8" w:rsidRPr="004B4CEB" w:rsidSect="004B4CEB">
      <w:footerReference w:type="default" r:id="rId15"/>
      <w:footerReference w:type="first" r:id="rId16"/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2BED" w:rsidRDefault="00362BED" w:rsidP="00461A5D">
      <w:pPr>
        <w:spacing w:after="0" w:line="240" w:lineRule="auto"/>
      </w:pPr>
      <w:r>
        <w:separator/>
      </w:r>
    </w:p>
  </w:endnote>
  <w:endnote w:type="continuationSeparator" w:id="0">
    <w:p w:rsidR="00362BED" w:rsidRDefault="00362BED" w:rsidP="00461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0572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4CEB" w:rsidRDefault="004B4CEB" w:rsidP="00267519">
        <w:pPr>
          <w:pStyle w:val="Footer"/>
          <w:rPr>
            <w:noProof/>
          </w:rPr>
        </w:pPr>
        <w:r>
          <w:rPr>
            <w:noProof/>
            <w:lang w:eastAsia="en-GB"/>
          </w:rPr>
          <w:drawing>
            <wp:anchor distT="0" distB="0" distL="114300" distR="114300" simplePos="0" relativeHeight="251670016" behindDoc="1" locked="0" layoutInCell="1" allowOverlap="1" wp14:anchorId="6D1FB346" wp14:editId="742D62D6">
              <wp:simplePos x="0" y="0"/>
              <wp:positionH relativeFrom="column">
                <wp:posOffset>-45085</wp:posOffset>
              </wp:positionH>
              <wp:positionV relativeFrom="paragraph">
                <wp:posOffset>-107315</wp:posOffset>
              </wp:positionV>
              <wp:extent cx="1877695" cy="585470"/>
              <wp:effectExtent l="0" t="0" r="8255" b="5080"/>
              <wp:wrapThrough wrapText="bothSides">
                <wp:wrapPolygon edited="0">
                  <wp:start x="0" y="0"/>
                  <wp:lineTo x="0" y="21085"/>
                  <wp:lineTo x="21476" y="21085"/>
                  <wp:lineTo x="21476" y="0"/>
                  <wp:lineTo x="0" y="0"/>
                </wp:wrapPolygon>
              </wp:wrapThrough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77695" cy="5854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4B4CEB" w:rsidRDefault="004B4CEB">
    <w:pPr>
      <w:pStyle w:val="Footer"/>
    </w:pPr>
    <w:r>
      <w:rPr>
        <w:noProof/>
        <w:color w:val="000000" w:themeColor="text1"/>
        <w:sz w:val="28"/>
        <w:lang w:eastAsia="en-GB"/>
      </w:rPr>
      <w:drawing>
        <wp:anchor distT="0" distB="0" distL="114300" distR="114300" simplePos="0" relativeHeight="251671040" behindDoc="1" locked="0" layoutInCell="1" allowOverlap="1" wp14:anchorId="0C35A6DA" wp14:editId="014EBD76">
          <wp:simplePos x="0" y="0"/>
          <wp:positionH relativeFrom="column">
            <wp:posOffset>7323455</wp:posOffset>
          </wp:positionH>
          <wp:positionV relativeFrom="paragraph">
            <wp:posOffset>-62230</wp:posOffset>
          </wp:positionV>
          <wp:extent cx="1800860" cy="386715"/>
          <wp:effectExtent l="0" t="0" r="8890" b="0"/>
          <wp:wrapThrough wrapText="bothSides">
            <wp:wrapPolygon edited="0">
              <wp:start x="0" y="0"/>
              <wp:lineTo x="0" y="20217"/>
              <wp:lineTo x="21478" y="20217"/>
              <wp:lineTo x="21478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logo50mmgree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521" w:rsidRDefault="00A907A4" w:rsidP="00545521">
    <w:pPr>
      <w:pStyle w:val="Footer"/>
      <w:jc w:val="right"/>
    </w:pPr>
    <w:r>
      <w:rPr>
        <w:noProof/>
        <w:color w:val="000000" w:themeColor="text1"/>
        <w:sz w:val="28"/>
        <w:lang w:eastAsia="en-GB"/>
      </w:rPr>
      <w:drawing>
        <wp:anchor distT="0" distB="0" distL="114300" distR="114300" simplePos="0" relativeHeight="251662336" behindDoc="0" locked="0" layoutInCell="1" allowOverlap="1" wp14:anchorId="50EDDB8E">
          <wp:simplePos x="0" y="0"/>
          <wp:positionH relativeFrom="column">
            <wp:posOffset>7063740</wp:posOffset>
          </wp:positionH>
          <wp:positionV relativeFrom="paragraph">
            <wp:posOffset>-52705</wp:posOffset>
          </wp:positionV>
          <wp:extent cx="1979930" cy="424180"/>
          <wp:effectExtent l="0" t="0" r="127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logo50mmgre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993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968" behindDoc="0" locked="0" layoutInCell="1" allowOverlap="1" wp14:anchorId="1EAA9167" wp14:editId="1098CC9A">
          <wp:simplePos x="0" y="0"/>
          <wp:positionH relativeFrom="column">
            <wp:posOffset>-10795</wp:posOffset>
          </wp:positionH>
          <wp:positionV relativeFrom="paragraph">
            <wp:posOffset>-201328</wp:posOffset>
          </wp:positionV>
          <wp:extent cx="1979930" cy="619125"/>
          <wp:effectExtent l="0" t="0" r="127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236683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0B25" w:rsidRDefault="00A907A4">
        <w:pPr>
          <w:pStyle w:val="Footer"/>
          <w:jc w:val="center"/>
        </w:pPr>
        <w:r>
          <w:rPr>
            <w:noProof/>
            <w:lang w:eastAsia="en-GB"/>
          </w:rPr>
          <w:drawing>
            <wp:anchor distT="0" distB="0" distL="114300" distR="114300" simplePos="0" relativeHeight="251660800" behindDoc="1" locked="0" layoutInCell="1" allowOverlap="1" wp14:anchorId="2CC7A3AB" wp14:editId="01DEACC5">
              <wp:simplePos x="0" y="0"/>
              <wp:positionH relativeFrom="column">
                <wp:posOffset>-20955</wp:posOffset>
              </wp:positionH>
              <wp:positionV relativeFrom="paragraph">
                <wp:posOffset>-27338</wp:posOffset>
              </wp:positionV>
              <wp:extent cx="1979930" cy="622300"/>
              <wp:effectExtent l="0" t="0" r="1270" b="6350"/>
              <wp:wrapThrough wrapText="bothSides">
                <wp:wrapPolygon edited="0">
                  <wp:start x="0" y="0"/>
                  <wp:lineTo x="0" y="21159"/>
                  <wp:lineTo x="21406" y="21159"/>
                  <wp:lineTo x="21406" y="0"/>
                  <wp:lineTo x="0" y="0"/>
                </wp:wrapPolygon>
              </wp:wrapThrough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07" t="25234" r="17757" b="26169"/>
                      <a:stretch/>
                    </pic:blipFill>
                    <pic:spPr bwMode="auto">
                      <a:xfrm>
                        <a:off x="0" y="0"/>
                        <a:ext cx="1979930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en-GB"/>
          </w:rPr>
          <w:drawing>
            <wp:anchor distT="0" distB="0" distL="114300" distR="114300" simplePos="0" relativeHeight="251653632" behindDoc="1" locked="0" layoutInCell="1" allowOverlap="1" wp14:anchorId="25A31136" wp14:editId="7BD81C6E">
              <wp:simplePos x="0" y="0"/>
              <wp:positionH relativeFrom="column">
                <wp:posOffset>7045325</wp:posOffset>
              </wp:positionH>
              <wp:positionV relativeFrom="paragraph">
                <wp:posOffset>132113</wp:posOffset>
              </wp:positionV>
              <wp:extent cx="1980000" cy="424800"/>
              <wp:effectExtent l="0" t="0" r="1270" b="0"/>
              <wp:wrapThrough wrapText="bothSides">
                <wp:wrapPolygon edited="0">
                  <wp:start x="0" y="0"/>
                  <wp:lineTo x="0" y="20371"/>
                  <wp:lineTo x="21406" y="20371"/>
                  <wp:lineTo x="21406" y="0"/>
                  <wp:lineTo x="0" y="0"/>
                </wp:wrapPolygon>
              </wp:wrapThrough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80000" cy="4248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C0B25">
          <w:fldChar w:fldCharType="begin"/>
        </w:r>
        <w:r w:rsidR="008C0B25">
          <w:instrText xml:space="preserve"> PAGE   \* MERGEFORMAT </w:instrText>
        </w:r>
        <w:r w:rsidR="008C0B25">
          <w:fldChar w:fldCharType="separate"/>
        </w:r>
        <w:r w:rsidR="00D3371C">
          <w:rPr>
            <w:noProof/>
          </w:rPr>
          <w:t>1</w:t>
        </w:r>
        <w:r w:rsidR="008C0B25">
          <w:rPr>
            <w:noProof/>
          </w:rPr>
          <w:fldChar w:fldCharType="end"/>
        </w:r>
      </w:p>
    </w:sdtContent>
  </w:sdt>
  <w:p w:rsidR="00126433" w:rsidRPr="00461A5D" w:rsidRDefault="00126433" w:rsidP="00461A5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2BED" w:rsidRDefault="00362BED" w:rsidP="00461A5D">
      <w:pPr>
        <w:spacing w:after="0" w:line="240" w:lineRule="auto"/>
      </w:pPr>
      <w:r>
        <w:separator/>
      </w:r>
    </w:p>
  </w:footnote>
  <w:footnote w:type="continuationSeparator" w:id="0">
    <w:p w:rsidR="00362BED" w:rsidRDefault="00362BED" w:rsidP="00461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84FA1"/>
    <w:multiLevelType w:val="hybridMultilevel"/>
    <w:tmpl w:val="A52AD878"/>
    <w:lvl w:ilvl="0" w:tplc="08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 w15:restartNumberingAfterBreak="0">
    <w:nsid w:val="1F960495"/>
    <w:multiLevelType w:val="hybridMultilevel"/>
    <w:tmpl w:val="7EAE6DC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50F06"/>
    <w:multiLevelType w:val="hybridMultilevel"/>
    <w:tmpl w:val="9B12834C"/>
    <w:lvl w:ilvl="0" w:tplc="72745F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F5D6A"/>
    <w:multiLevelType w:val="multilevel"/>
    <w:tmpl w:val="6E8C7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8E4CC6"/>
    <w:multiLevelType w:val="hybridMultilevel"/>
    <w:tmpl w:val="12CCA0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F3949"/>
    <w:multiLevelType w:val="hybridMultilevel"/>
    <w:tmpl w:val="D982D0F4"/>
    <w:lvl w:ilvl="0" w:tplc="CA524F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  <w:sz w:val="24"/>
        <w:szCs w:val="24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7655F6C"/>
    <w:multiLevelType w:val="hybridMultilevel"/>
    <w:tmpl w:val="EB0CC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EE4915"/>
    <w:multiLevelType w:val="hybridMultilevel"/>
    <w:tmpl w:val="5A6EB0EC"/>
    <w:lvl w:ilvl="0" w:tplc="541645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EB1148"/>
    <w:multiLevelType w:val="hybridMultilevel"/>
    <w:tmpl w:val="DB365E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34102"/>
    <w:multiLevelType w:val="hybridMultilevel"/>
    <w:tmpl w:val="B1801B1A"/>
    <w:lvl w:ilvl="0" w:tplc="0D5E0D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4D6427"/>
    <w:multiLevelType w:val="hybridMultilevel"/>
    <w:tmpl w:val="AB6003D2"/>
    <w:lvl w:ilvl="0" w:tplc="0366D9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EA3CA5"/>
    <w:multiLevelType w:val="hybridMultilevel"/>
    <w:tmpl w:val="D9A07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1777E4"/>
    <w:multiLevelType w:val="hybridMultilevel"/>
    <w:tmpl w:val="B82E3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37DDC"/>
    <w:multiLevelType w:val="hybridMultilevel"/>
    <w:tmpl w:val="805A9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1"/>
  </w:num>
  <w:num w:numId="5">
    <w:abstractNumId w:val="12"/>
  </w:num>
  <w:num w:numId="6">
    <w:abstractNumId w:val="2"/>
  </w:num>
  <w:num w:numId="7">
    <w:abstractNumId w:val="9"/>
  </w:num>
  <w:num w:numId="8">
    <w:abstractNumId w:val="6"/>
  </w:num>
  <w:num w:numId="9">
    <w:abstractNumId w:val="10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A5D"/>
    <w:rsid w:val="00021441"/>
    <w:rsid w:val="000B4DE1"/>
    <w:rsid w:val="000B57D4"/>
    <w:rsid w:val="000C44D5"/>
    <w:rsid w:val="000E2AEB"/>
    <w:rsid w:val="00102871"/>
    <w:rsid w:val="00126433"/>
    <w:rsid w:val="001538EA"/>
    <w:rsid w:val="00176F9F"/>
    <w:rsid w:val="00191AAC"/>
    <w:rsid w:val="001A5B15"/>
    <w:rsid w:val="001B6C84"/>
    <w:rsid w:val="001F5A53"/>
    <w:rsid w:val="0023206A"/>
    <w:rsid w:val="00250463"/>
    <w:rsid w:val="002553F8"/>
    <w:rsid w:val="002648BA"/>
    <w:rsid w:val="00282955"/>
    <w:rsid w:val="002C0C60"/>
    <w:rsid w:val="002D7E4C"/>
    <w:rsid w:val="00321B26"/>
    <w:rsid w:val="00327216"/>
    <w:rsid w:val="00362BED"/>
    <w:rsid w:val="00380C42"/>
    <w:rsid w:val="003E369F"/>
    <w:rsid w:val="00426AE4"/>
    <w:rsid w:val="00440603"/>
    <w:rsid w:val="00461A5D"/>
    <w:rsid w:val="00491804"/>
    <w:rsid w:val="004A18CC"/>
    <w:rsid w:val="004B4CEB"/>
    <w:rsid w:val="004B62F4"/>
    <w:rsid w:val="00501F3C"/>
    <w:rsid w:val="00545521"/>
    <w:rsid w:val="005544BC"/>
    <w:rsid w:val="00574282"/>
    <w:rsid w:val="0058594D"/>
    <w:rsid w:val="00592D53"/>
    <w:rsid w:val="005B0BEA"/>
    <w:rsid w:val="005E0737"/>
    <w:rsid w:val="005F6181"/>
    <w:rsid w:val="00617ADF"/>
    <w:rsid w:val="00640364"/>
    <w:rsid w:val="006465F7"/>
    <w:rsid w:val="00680E01"/>
    <w:rsid w:val="006A3F6D"/>
    <w:rsid w:val="006B228C"/>
    <w:rsid w:val="006D2CB1"/>
    <w:rsid w:val="006E7ED0"/>
    <w:rsid w:val="00713BB5"/>
    <w:rsid w:val="00741FA6"/>
    <w:rsid w:val="00760881"/>
    <w:rsid w:val="007A1E55"/>
    <w:rsid w:val="007A6E12"/>
    <w:rsid w:val="007C1DDC"/>
    <w:rsid w:val="00814314"/>
    <w:rsid w:val="008246DA"/>
    <w:rsid w:val="008C0B25"/>
    <w:rsid w:val="008D0C7D"/>
    <w:rsid w:val="00953C25"/>
    <w:rsid w:val="00954197"/>
    <w:rsid w:val="009E0B72"/>
    <w:rsid w:val="00A20DE7"/>
    <w:rsid w:val="00A33136"/>
    <w:rsid w:val="00A82EB8"/>
    <w:rsid w:val="00A907A4"/>
    <w:rsid w:val="00A922B0"/>
    <w:rsid w:val="00AB6AA9"/>
    <w:rsid w:val="00B06CDE"/>
    <w:rsid w:val="00B143AB"/>
    <w:rsid w:val="00B17E26"/>
    <w:rsid w:val="00B41D82"/>
    <w:rsid w:val="00B42EDA"/>
    <w:rsid w:val="00B71630"/>
    <w:rsid w:val="00B804A6"/>
    <w:rsid w:val="00B90949"/>
    <w:rsid w:val="00B92469"/>
    <w:rsid w:val="00C2183A"/>
    <w:rsid w:val="00C47B8C"/>
    <w:rsid w:val="00C65DA6"/>
    <w:rsid w:val="00C772A2"/>
    <w:rsid w:val="00CE3A6E"/>
    <w:rsid w:val="00D3371C"/>
    <w:rsid w:val="00D80971"/>
    <w:rsid w:val="00DA6850"/>
    <w:rsid w:val="00DA73E2"/>
    <w:rsid w:val="00DC2564"/>
    <w:rsid w:val="00DC6F0A"/>
    <w:rsid w:val="00E5024B"/>
    <w:rsid w:val="00E82C96"/>
    <w:rsid w:val="00E96E6D"/>
    <w:rsid w:val="00EB4AE9"/>
    <w:rsid w:val="00ED6CA9"/>
    <w:rsid w:val="00EF6BAC"/>
    <w:rsid w:val="00F002BE"/>
    <w:rsid w:val="00F32090"/>
    <w:rsid w:val="00F552A5"/>
    <w:rsid w:val="00F65FD8"/>
    <w:rsid w:val="00FF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204098D"/>
  <w15:docId w15:val="{27BF97A1-A527-4DD0-A474-289E63227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0DE7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44BC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483A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4B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44BC"/>
    <w:pPr>
      <w:keepNext/>
      <w:keepLines/>
      <w:spacing w:before="200" w:after="0"/>
      <w:outlineLvl w:val="2"/>
    </w:pPr>
    <w:rPr>
      <w:rFonts w:eastAsiaTheme="majorEastAsia" w:cstheme="majorBidi"/>
      <w:bCs/>
      <w:i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44B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483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0DE7"/>
    <w:pPr>
      <w:spacing w:after="0" w:line="240" w:lineRule="auto"/>
    </w:pPr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544BC"/>
    <w:rPr>
      <w:rFonts w:ascii="Arial" w:eastAsiaTheme="majorEastAsia" w:hAnsi="Arial" w:cstheme="majorBidi"/>
      <w:b/>
      <w:bCs/>
      <w:color w:val="00483A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544BC"/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44BC"/>
    <w:rPr>
      <w:rFonts w:ascii="Arial" w:eastAsiaTheme="majorEastAsia" w:hAnsi="Arial" w:cstheme="majorBidi"/>
      <w:bCs/>
      <w:i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544BC"/>
    <w:rPr>
      <w:rFonts w:ascii="Arial" w:eastAsiaTheme="majorEastAsia" w:hAnsi="Arial" w:cstheme="majorBidi"/>
      <w:b/>
      <w:bCs/>
      <w:i/>
      <w:iCs/>
      <w:color w:val="00483A" w:themeColor="text2"/>
      <w:sz w:val="24"/>
    </w:rPr>
  </w:style>
  <w:style w:type="paragraph" w:styleId="Title">
    <w:name w:val="Title"/>
    <w:basedOn w:val="Normal"/>
    <w:next w:val="Normal"/>
    <w:link w:val="TitleChar"/>
    <w:uiPriority w:val="10"/>
    <w:rsid w:val="005544BC"/>
    <w:pPr>
      <w:pBdr>
        <w:bottom w:val="single" w:sz="8" w:space="4" w:color="27235A" w:themeColor="accent1"/>
      </w:pBdr>
      <w:spacing w:after="300" w:line="240" w:lineRule="auto"/>
      <w:contextualSpacing/>
    </w:pPr>
    <w:rPr>
      <w:rFonts w:eastAsiaTheme="majorEastAsia" w:cstheme="majorBidi"/>
      <w:color w:val="00352B" w:themeColor="text2" w:themeShade="BF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44BC"/>
    <w:rPr>
      <w:rFonts w:ascii="Arial" w:eastAsiaTheme="majorEastAsia" w:hAnsi="Arial" w:cstheme="majorBidi"/>
      <w:color w:val="00352B" w:themeColor="text2" w:themeShade="BF"/>
      <w:spacing w:val="5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441"/>
    <w:pPr>
      <w:numPr>
        <w:ilvl w:val="1"/>
      </w:numPr>
    </w:pPr>
    <w:rPr>
      <w:rFonts w:eastAsiaTheme="majorEastAsia" w:cstheme="majorBidi"/>
      <w:i/>
      <w:iCs/>
      <w:color w:val="27235A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21441"/>
    <w:rPr>
      <w:rFonts w:ascii="Arial" w:eastAsiaTheme="majorEastAsia" w:hAnsi="Arial" w:cstheme="majorBidi"/>
      <w:i/>
      <w:iCs/>
      <w:color w:val="27235A" w:themeColor="accent1"/>
      <w:spacing w:val="15"/>
      <w:sz w:val="24"/>
      <w:szCs w:val="24"/>
    </w:rPr>
  </w:style>
  <w:style w:type="paragraph" w:customStyle="1" w:styleId="Title1">
    <w:name w:val="Title 1"/>
    <w:basedOn w:val="Heading1"/>
    <w:link w:val="Title1Char"/>
    <w:qFormat/>
    <w:rsid w:val="00491804"/>
    <w:pPr>
      <w:spacing w:before="240" w:after="360"/>
    </w:pPr>
    <w:rPr>
      <w:b w:val="0"/>
      <w:sz w:val="72"/>
      <w:szCs w:val="72"/>
    </w:rPr>
  </w:style>
  <w:style w:type="character" w:customStyle="1" w:styleId="Title1Char">
    <w:name w:val="Title 1 Char"/>
    <w:basedOn w:val="Heading1Char"/>
    <w:link w:val="Title1"/>
    <w:rsid w:val="00491804"/>
    <w:rPr>
      <w:rFonts w:ascii="Arial" w:eastAsiaTheme="majorEastAsia" w:hAnsi="Arial" w:cstheme="majorBidi"/>
      <w:b w:val="0"/>
      <w:bCs/>
      <w:color w:val="00483A" w:themeColor="text2"/>
      <w:sz w:val="72"/>
      <w:szCs w:val="72"/>
    </w:rPr>
  </w:style>
  <w:style w:type="paragraph" w:styleId="ListParagraph">
    <w:name w:val="List Paragraph"/>
    <w:basedOn w:val="Normal"/>
    <w:uiPriority w:val="34"/>
    <w:qFormat/>
    <w:rsid w:val="000214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1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A5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461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A5D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5E0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4DE1"/>
    <w:rPr>
      <w:color w:val="3378CB" w:themeColor="hyperlink"/>
      <w:u w:val="single"/>
    </w:rPr>
  </w:style>
  <w:style w:type="character" w:styleId="Strong">
    <w:name w:val="Strong"/>
    <w:basedOn w:val="DefaultParagraphFont"/>
    <w:uiPriority w:val="22"/>
    <w:qFormat/>
    <w:rsid w:val="00B06CDE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4B4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8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96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6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7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8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2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3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9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2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1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2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8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4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6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63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81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8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16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91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5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5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2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2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0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958312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5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5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7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0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3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4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54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3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86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57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894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5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0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9431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0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66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5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63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0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6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4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7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1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65387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0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94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8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5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4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6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- OCC">
      <a:dk1>
        <a:sysClr val="windowText" lastClr="000000"/>
      </a:dk1>
      <a:lt1>
        <a:sysClr val="window" lastClr="FFFFFF"/>
      </a:lt1>
      <a:dk2>
        <a:srgbClr val="00483A"/>
      </a:dk2>
      <a:lt2>
        <a:srgbClr val="7FA39C"/>
      </a:lt2>
      <a:accent1>
        <a:srgbClr val="27235A"/>
      </a:accent1>
      <a:accent2>
        <a:srgbClr val="6460AB"/>
      </a:accent2>
      <a:accent3>
        <a:srgbClr val="50B948"/>
      </a:accent3>
      <a:accent4>
        <a:srgbClr val="EC008C"/>
      </a:accent4>
      <a:accent5>
        <a:srgbClr val="6E1B2D"/>
      </a:accent5>
      <a:accent6>
        <a:srgbClr val="F7941E"/>
      </a:accent6>
      <a:hlink>
        <a:srgbClr val="3378CB"/>
      </a:hlink>
      <a:folHlink>
        <a:srgbClr val="B139A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45293-0A3A-4909-9981-49A504301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Oxfordshire County Council</Company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jack.yuille</dc:creator>
  <cp:lastModifiedBy>Edwards, Julie - CEF</cp:lastModifiedBy>
  <cp:revision>2</cp:revision>
  <cp:lastPrinted>2015-09-24T14:40:00Z</cp:lastPrinted>
  <dcterms:created xsi:type="dcterms:W3CDTF">2019-08-28T13:51:00Z</dcterms:created>
  <dcterms:modified xsi:type="dcterms:W3CDTF">2019-08-28T13:51:00Z</dcterms:modified>
</cp:coreProperties>
</file>