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92" w:rsidRDefault="00242392" w:rsidP="00EA4AEA">
      <w:pPr>
        <w:spacing w:after="0" w:line="240" w:lineRule="auto"/>
        <w:jc w:val="center"/>
        <w:rPr>
          <w:rFonts w:cs="Arial"/>
          <w:b/>
          <w:sz w:val="32"/>
          <w:szCs w:val="32"/>
        </w:rPr>
      </w:pPr>
      <w:bookmarkStart w:id="0" w:name="_GoBack"/>
      <w:bookmarkEnd w:id="0"/>
      <w:r>
        <w:rPr>
          <w:rFonts w:cs="Arial"/>
          <w:b/>
          <w:sz w:val="32"/>
          <w:szCs w:val="32"/>
        </w:rPr>
        <w:t>Early Years Handbook, August 2015</w:t>
      </w:r>
    </w:p>
    <w:p w:rsidR="005C0D78" w:rsidRPr="00242392" w:rsidRDefault="005C0D78" w:rsidP="00EA4AEA">
      <w:pPr>
        <w:spacing w:after="0" w:line="240" w:lineRule="auto"/>
        <w:jc w:val="center"/>
        <w:rPr>
          <w:rFonts w:cs="Arial"/>
          <w:i/>
          <w:sz w:val="28"/>
          <w:szCs w:val="28"/>
        </w:rPr>
      </w:pPr>
      <w:r w:rsidRPr="00242392">
        <w:rPr>
          <w:rFonts w:cs="Arial"/>
          <w:i/>
          <w:sz w:val="28"/>
          <w:szCs w:val="28"/>
        </w:rPr>
        <w:t>Ofsted grade descriptors for achieving a</w:t>
      </w:r>
      <w:r w:rsidR="00AE2847" w:rsidRPr="00242392">
        <w:rPr>
          <w:rFonts w:cs="Arial"/>
          <w:i/>
          <w:sz w:val="28"/>
          <w:szCs w:val="28"/>
        </w:rPr>
        <w:t>n</w:t>
      </w:r>
      <w:r w:rsidRPr="00242392">
        <w:rPr>
          <w:rFonts w:cs="Arial"/>
          <w:i/>
          <w:sz w:val="28"/>
          <w:szCs w:val="28"/>
        </w:rPr>
        <w:t xml:space="preserve"> </w:t>
      </w:r>
    </w:p>
    <w:p w:rsidR="005C0D78" w:rsidRPr="00242392" w:rsidRDefault="005C0D78" w:rsidP="00EA4AEA">
      <w:pPr>
        <w:spacing w:after="0" w:line="240" w:lineRule="auto"/>
        <w:jc w:val="center"/>
        <w:rPr>
          <w:rFonts w:cs="Arial"/>
          <w:i/>
          <w:sz w:val="28"/>
          <w:szCs w:val="28"/>
        </w:rPr>
      </w:pPr>
      <w:r w:rsidRPr="00242392">
        <w:rPr>
          <w:rFonts w:cs="Arial"/>
          <w:i/>
          <w:sz w:val="28"/>
          <w:szCs w:val="28"/>
        </w:rPr>
        <w:t xml:space="preserve"> ‘Outstanding’ inspection outcome</w:t>
      </w:r>
      <w:bookmarkStart w:id="1" w:name="_Toc416776771"/>
      <w:bookmarkStart w:id="2" w:name="_Toc429133602"/>
    </w:p>
    <w:p w:rsidR="005C0D78" w:rsidRPr="005C0D78" w:rsidRDefault="005C0D78" w:rsidP="005C0D78">
      <w:pPr>
        <w:spacing w:line="240" w:lineRule="auto"/>
        <w:jc w:val="center"/>
        <w:rPr>
          <w:rFonts w:cs="Arial"/>
          <w:b/>
          <w:sz w:val="6"/>
          <w:szCs w:val="6"/>
        </w:rPr>
      </w:pPr>
    </w:p>
    <w:p w:rsidR="005C0D78" w:rsidRPr="003E7A3F" w:rsidRDefault="005C0D78" w:rsidP="005C0D78">
      <w:pPr>
        <w:keepNext/>
        <w:tabs>
          <w:tab w:val="left" w:pos="737"/>
        </w:tabs>
        <w:spacing w:before="120" w:line="280" w:lineRule="exact"/>
        <w:outlineLvl w:val="1"/>
        <w:rPr>
          <w:rFonts w:eastAsia="Times New Roman" w:cs="Arial"/>
          <w:b/>
          <w:i/>
          <w:sz w:val="28"/>
          <w:szCs w:val="28"/>
          <w:lang w:eastAsia="en-GB"/>
        </w:rPr>
      </w:pPr>
      <w:r w:rsidRPr="003E7A3F">
        <w:rPr>
          <w:rFonts w:eastAsia="Times New Roman" w:cs="Arial"/>
          <w:b/>
          <w:i/>
          <w:sz w:val="28"/>
          <w:szCs w:val="28"/>
          <w:lang w:eastAsia="en-GB"/>
        </w:rPr>
        <w:t>Grade descriptors for the effectiveness of leadership and management</w:t>
      </w:r>
      <w:bookmarkEnd w:id="1"/>
      <w:bookmarkEnd w:id="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C0D78" w:rsidRPr="003E7A3F" w:rsidTr="005C0D78">
        <w:trPr>
          <w:trHeight w:val="416"/>
        </w:trPr>
        <w:tc>
          <w:tcPr>
            <w:tcW w:w="9639" w:type="dxa"/>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rPr>
              <w:br w:type="page"/>
            </w:r>
            <w:r w:rsidRPr="003E7A3F">
              <w:rPr>
                <w:rFonts w:eastAsia="Times New Roman" w:cs="Arial"/>
                <w:b/>
                <w:color w:val="000000"/>
                <w:szCs w:val="24"/>
                <w:highlight w:val="yellow"/>
              </w:rPr>
              <w:t>Outstanding (1)</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The pursuit of excellence in all of the setting’s activities is demonstrated by an uncompromising, highly successful drive to improve achievement or maintain the highest levels of achievement for all children.</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Incisive evaluation of the impact of staff’s practice leads to rigorous performance management, supervision and highly focused professional development. As a result, teaching is highly effective or improving rapidly.</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Leaders and managers actively seek, evaluate and act on the views of parents, staff and children to drive continual improvement. </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Highly effective monitoring identifies where children may be slow to develop key skills so that specific programmes of support are implemented to help them catch up. Gaps in achievement between different groups of children, especially those for whom the setting receives additional funding, are negligible or closing. </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The provider has an excellent knowledge of the requirements of the Early Years Foundation Stage, and implements them highly effectively. </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Leaders’ deep understanding of the curriculum and how to apply it to meet the needs and interests of children results in all staff planning highly effective activities. As a result, children are exceptionally well prepared to move on, including, where appropriate, to school.</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Leaders set high standards for children’s behaviour at all times. Exemplary relationships between staff provide an excellent model for children’s behaviour towards each other. </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Highly effective partnership working leads to improvement in provision and outcomes for children and their families. </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The promotion of equality, diversity and British values is at the heart of the setting’s work. It is demonstrated through all its practices, preventing including tackling any instances of discrimination and being alert to potential risks from radicalisation and extremism. </w:t>
            </w:r>
          </w:p>
          <w:p w:rsidR="005C0D78" w:rsidRPr="003D34E4" w:rsidRDefault="005C0D78" w:rsidP="005C0D78">
            <w:pPr>
              <w:pStyle w:val="ListParagraph"/>
              <w:numPr>
                <w:ilvl w:val="0"/>
                <w:numId w:val="23"/>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Safeguarding and welfare meet statutory requirements. Leaders and managers have created a culture of vigilance where children’s welfare is actively promoted. Children are listened to and feel safe. Staff are trained to identify and support children who may be at risk of neglect or abuse and they report any concerns. Work with partner agencies to safeguard children’s welfare is effective.</w:t>
            </w:r>
          </w:p>
        </w:tc>
      </w:tr>
    </w:tbl>
    <w:p w:rsidR="005C0D78" w:rsidRPr="005C0D78" w:rsidRDefault="005C0D78" w:rsidP="005C0D78">
      <w:pPr>
        <w:keepNext/>
        <w:tabs>
          <w:tab w:val="left" w:pos="737"/>
        </w:tabs>
        <w:spacing w:after="240" w:line="280" w:lineRule="exact"/>
        <w:outlineLvl w:val="1"/>
        <w:rPr>
          <w:rFonts w:eastAsia="Times New Roman" w:cs="Arial"/>
          <w:b/>
          <w:sz w:val="10"/>
          <w:szCs w:val="10"/>
          <w:lang w:eastAsia="en-GB"/>
        </w:rPr>
      </w:pPr>
    </w:p>
    <w:p w:rsidR="005C0D78" w:rsidRPr="003E7A3F" w:rsidRDefault="005C0D78" w:rsidP="005C0D78">
      <w:pPr>
        <w:keepNext/>
        <w:tabs>
          <w:tab w:val="left" w:pos="737"/>
        </w:tabs>
        <w:spacing w:after="240" w:line="280" w:lineRule="exact"/>
        <w:outlineLvl w:val="1"/>
        <w:rPr>
          <w:rFonts w:eastAsia="Times New Roman" w:cs="Arial"/>
          <w:b/>
          <w:sz w:val="28"/>
          <w:szCs w:val="28"/>
          <w:lang w:eastAsia="en-GB"/>
        </w:rPr>
      </w:pPr>
      <w:r w:rsidRPr="003E7A3F">
        <w:rPr>
          <w:rFonts w:eastAsia="Times New Roman" w:cs="Arial"/>
          <w:b/>
          <w:sz w:val="28"/>
          <w:szCs w:val="28"/>
          <w:lang w:eastAsia="en-GB"/>
        </w:rPr>
        <w:t>Grade descriptors for teaching, learning and assessment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5C0D78" w:rsidRPr="003E7A3F" w:rsidTr="005C0D78">
        <w:tc>
          <w:tcPr>
            <w:tcW w:w="9497" w:type="dxa"/>
            <w:shd w:val="clear" w:color="auto" w:fill="auto"/>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yellow"/>
              </w:rPr>
              <w:t>Outstanding (1)</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All practitioners have very high expectations of what each child can achieve, including the most able and the most disadvantaged.</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Teaching is consistently of a very high quality, inspirational and worthy of dissemination to others; it is highly responsive to children’s needs.  </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Practitioners use their expert knowledge of the areas of learning and deep understanding of how children learn to provide rich, varied and imaginative experiences that enthuse, engage and motivate children to learn.</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Accurate assessment, including through high quality observations, is rigorous and </w:t>
            </w:r>
            <w:r w:rsidRPr="003D34E4">
              <w:rPr>
                <w:rFonts w:eastAsia="Times New Roman" w:cs="Arial"/>
                <w:color w:val="000000"/>
                <w:szCs w:val="24"/>
              </w:rPr>
              <w:lastRenderedPageBreak/>
              <w:t>sharply focused and includes all those involved in the child’s learning and development. Where appropriate, children are involved in the process. Information from assessment is used to secure timely interventions and support, based on a comprehensive knowledge of the child and their family.</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Provision across all areas of learning is planned meticulously and based on regular and precise assessments of children’s achievement so that every child undertakes highly challenging activities.</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Calibri" w:cs="Arial"/>
                <w:color w:val="000000"/>
                <w:szCs w:val="24"/>
              </w:rPr>
            </w:pPr>
            <w:r w:rsidRPr="003D34E4">
              <w:rPr>
                <w:rFonts w:eastAsia="Times New Roman" w:cs="Arial"/>
                <w:color w:val="000000"/>
                <w:szCs w:val="24"/>
              </w:rPr>
              <w:t>Highly successful strategies engage parents, including those from different groups, in their children’s learning, both in the setting and at home.</w:t>
            </w:r>
          </w:p>
          <w:p w:rsidR="005C0D78" w:rsidRPr="003D34E4" w:rsidRDefault="005C0D78" w:rsidP="005C0D78">
            <w:pPr>
              <w:pStyle w:val="ListParagraph"/>
              <w:numPr>
                <w:ilvl w:val="0"/>
                <w:numId w:val="21"/>
              </w:numPr>
              <w:tabs>
                <w:tab w:val="left" w:pos="567"/>
                <w:tab w:val="num" w:pos="927"/>
              </w:tabs>
              <w:spacing w:before="60" w:after="60" w:line="240" w:lineRule="auto"/>
              <w:rPr>
                <w:rFonts w:eastAsia="Calibri" w:cs="Arial"/>
                <w:color w:val="000000"/>
                <w:szCs w:val="24"/>
              </w:rPr>
            </w:pPr>
            <w:r w:rsidRPr="003D34E4">
              <w:rPr>
                <w:rFonts w:eastAsia="Calibri" w:cs="Arial"/>
                <w:color w:val="000000"/>
                <w:szCs w:val="24"/>
              </w:rPr>
              <w:t>Practitioners provide an exceptional range of resources and activities that reflect and value the diversity of children’s experiences. They actively challenge gender, cultural and racial stereotyping and help children gain an understanding of people, families and communities beyond their immediate experience.</w:t>
            </w:r>
          </w:p>
          <w:p w:rsidR="005C0D78" w:rsidRPr="005C0D78" w:rsidRDefault="005C0D78" w:rsidP="005C0D78">
            <w:pPr>
              <w:pStyle w:val="ListParagraph"/>
              <w:numPr>
                <w:ilvl w:val="0"/>
                <w:numId w:val="21"/>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The extremely sharp focus on helping children to acquire communication and language skills, and on supporting their physical, personal, social and emotional development, gives children the </w:t>
            </w:r>
            <w:r>
              <w:rPr>
                <w:rFonts w:eastAsia="Times New Roman" w:cs="Arial"/>
                <w:color w:val="000000"/>
                <w:szCs w:val="24"/>
              </w:rPr>
              <w:t>foundations for future learning.</w:t>
            </w:r>
          </w:p>
        </w:tc>
      </w:tr>
    </w:tbl>
    <w:p w:rsidR="005C0D78" w:rsidRPr="005C0D78" w:rsidRDefault="005C0D78" w:rsidP="005C0D78">
      <w:pPr>
        <w:rPr>
          <w:rFonts w:cs="Arial"/>
          <w:sz w:val="16"/>
          <w:szCs w:val="16"/>
        </w:rPr>
      </w:pPr>
    </w:p>
    <w:p w:rsidR="005C0D78" w:rsidRPr="003E7A3F" w:rsidRDefault="005C0D78" w:rsidP="005C0D78">
      <w:pPr>
        <w:keepNext/>
        <w:tabs>
          <w:tab w:val="left" w:pos="737"/>
        </w:tabs>
        <w:spacing w:before="120" w:after="240" w:line="280" w:lineRule="exact"/>
        <w:outlineLvl w:val="1"/>
        <w:rPr>
          <w:rFonts w:eastAsia="Times New Roman" w:cs="Arial"/>
          <w:b/>
          <w:sz w:val="28"/>
          <w:szCs w:val="28"/>
          <w:lang w:eastAsia="en-GB"/>
        </w:rPr>
      </w:pPr>
      <w:bookmarkStart w:id="3" w:name="_Toc416776777"/>
      <w:bookmarkStart w:id="4" w:name="_Toc429133606"/>
      <w:r w:rsidRPr="003E7A3F">
        <w:rPr>
          <w:rFonts w:eastAsia="Times New Roman" w:cs="Arial"/>
          <w:b/>
          <w:sz w:val="28"/>
          <w:szCs w:val="28"/>
          <w:lang w:eastAsia="en-GB"/>
        </w:rPr>
        <w:t>Grade descriptors for personal development, behaviour and welfare</w:t>
      </w:r>
      <w:bookmarkEnd w:id="3"/>
      <w:bookmarkEnd w:id="4"/>
      <w:r w:rsidRPr="003E7A3F">
        <w:rPr>
          <w:rFonts w:eastAsia="Times New Roman" w:cs="Arial"/>
          <w:b/>
          <w:sz w:val="28"/>
          <w:szCs w:val="28"/>
          <w:lang w:eastAsia="en-GB"/>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5C0D78" w:rsidRPr="003E7A3F" w:rsidTr="005C0D78">
        <w:trPr>
          <w:trHeight w:val="722"/>
        </w:trPr>
        <w:tc>
          <w:tcPr>
            <w:tcW w:w="9497" w:type="dxa"/>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yellow"/>
              </w:rPr>
              <w:t>Outstanding (1)</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The highly stimulating environment and wide range of activities ensure that children are highly motivated and very eager to join in. They consistently show the characteristics of effective learning. They show high levels of curiosity, imagination and concentration. Older children listen intently and are highly responsive to adults and each other. </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Children’s health, welfare and well-being are significantly enhanced by the vigilant and highly consistent implementation of robust policies, procedures and practice. High standards of care and hygiene practice support the personal care needs of babies and toddlers.</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Practitioners are highly skilled and sensitive in helping children of all ages form secure emotional attachments. This gives children a strong base for developing their independence to explore their world and</w:t>
            </w:r>
            <w:r w:rsidRPr="003D34E4">
              <w:rPr>
                <w:rFonts w:eastAsia="Calibri" w:cs="Arial"/>
                <w:color w:val="000000"/>
                <w:szCs w:val="24"/>
              </w:rPr>
              <w:t xml:space="preserve"> increases their confidence in their own abilities.</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Children increasingly show high levels of confidence in social situations. </w:t>
            </w:r>
            <w:r w:rsidRPr="003D34E4">
              <w:rPr>
                <w:rFonts w:eastAsia="Calibri" w:cs="Arial"/>
                <w:color w:val="000000"/>
                <w:szCs w:val="24"/>
              </w:rPr>
              <w:t xml:space="preserve">They develop a positive sense of themselves and their place in the world. </w:t>
            </w:r>
            <w:r w:rsidRPr="003D34E4">
              <w:rPr>
                <w:rFonts w:eastAsia="Times New Roman" w:cs="Arial"/>
                <w:color w:val="000000"/>
                <w:szCs w:val="24"/>
              </w:rPr>
              <w:t xml:space="preserve">They develop a very good understanding of how to keep themselves safe and how to manage risks and challenges. </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The strong skills of all key persons ensure that all children are emotionally well prepared for the next stages in their learning. Practitioners skilfully support children’s transitions both within the setting and to other settings and prepare them for the move to school. </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Children demonstrate exceptionally positive behaviour and high levels of self-control, cooperation and respect for others that are appropriate for their age. They do not distract others or become distracted themselves.</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Children’s welfare and personal development are central to everything practitioners do. They are very effective in supporting children’s growing understanding of how to keep themselves safe and healthy.</w:t>
            </w:r>
          </w:p>
          <w:p w:rsidR="005C0D78" w:rsidRPr="003D34E4" w:rsidRDefault="005C0D78" w:rsidP="005C0D78">
            <w:pPr>
              <w:pStyle w:val="ListParagraph"/>
              <w:numPr>
                <w:ilvl w:val="0"/>
                <w:numId w:val="20"/>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Practitioners give children a wide range of experiences that promote understanding of people, families and communities beyond their own. They teach children the language of feelings and give them opportunities to </w:t>
            </w:r>
            <w:r w:rsidRPr="003D34E4">
              <w:rPr>
                <w:rFonts w:eastAsia="Calibri" w:cs="Arial"/>
                <w:color w:val="000000"/>
                <w:szCs w:val="24"/>
              </w:rPr>
              <w:t>reflect on their differences.</w:t>
            </w:r>
          </w:p>
        </w:tc>
      </w:tr>
    </w:tbl>
    <w:p w:rsidR="005C0D78" w:rsidRPr="003D34E4" w:rsidRDefault="005C0D78" w:rsidP="005C0D78">
      <w:pPr>
        <w:rPr>
          <w:rFonts w:cs="Arial"/>
          <w:szCs w:val="24"/>
        </w:rPr>
      </w:pPr>
    </w:p>
    <w:p w:rsidR="005C0D78" w:rsidRPr="003E7A3F" w:rsidRDefault="005C0D78" w:rsidP="005C0D78">
      <w:pPr>
        <w:keepNext/>
        <w:tabs>
          <w:tab w:val="left" w:pos="737"/>
        </w:tabs>
        <w:spacing w:before="120" w:after="240" w:line="280" w:lineRule="exact"/>
        <w:outlineLvl w:val="1"/>
        <w:rPr>
          <w:rFonts w:eastAsia="Times New Roman" w:cs="Arial"/>
          <w:b/>
          <w:sz w:val="28"/>
          <w:szCs w:val="28"/>
          <w:lang w:eastAsia="en-GB"/>
        </w:rPr>
      </w:pPr>
      <w:bookmarkStart w:id="5" w:name="_Toc416776780"/>
      <w:bookmarkStart w:id="6" w:name="_Toc429133608"/>
      <w:r w:rsidRPr="003E7A3F">
        <w:rPr>
          <w:rFonts w:eastAsia="Times New Roman" w:cs="Arial"/>
          <w:b/>
          <w:sz w:val="28"/>
          <w:szCs w:val="28"/>
          <w:lang w:eastAsia="en-GB"/>
        </w:rPr>
        <w:t>Grade descriptors for outcomes for children</w:t>
      </w:r>
      <w:bookmarkEnd w:id="5"/>
      <w:bookmarkEnd w:id="6"/>
      <w:r w:rsidRPr="003E7A3F">
        <w:rPr>
          <w:rFonts w:eastAsia="Times New Roman" w:cs="Arial"/>
          <w:b/>
          <w:sz w:val="28"/>
          <w:szCs w:val="28"/>
          <w:lang w:eastAsia="en-GB"/>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5C0D78" w:rsidRPr="003E7A3F" w:rsidTr="005C0D78">
        <w:trPr>
          <w:trHeight w:val="722"/>
        </w:trPr>
        <w:tc>
          <w:tcPr>
            <w:tcW w:w="9497" w:type="dxa"/>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yellow"/>
              </w:rPr>
              <w:t>Outstanding (1)</w:t>
            </w:r>
          </w:p>
          <w:p w:rsidR="005C0D78" w:rsidRPr="003D34E4" w:rsidRDefault="005C0D78" w:rsidP="005C0D78">
            <w:pPr>
              <w:pStyle w:val="ListParagraph"/>
              <w:numPr>
                <w:ilvl w:val="0"/>
                <w:numId w:val="19"/>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Children make consistently high rates of progress in relation to their starting points and are extremely well prepared for the next stage of their education. </w:t>
            </w:r>
          </w:p>
          <w:p w:rsidR="005C0D78" w:rsidRPr="003D34E4" w:rsidRDefault="005C0D78" w:rsidP="005C0D78">
            <w:pPr>
              <w:pStyle w:val="ListParagraph"/>
              <w:numPr>
                <w:ilvl w:val="0"/>
                <w:numId w:val="19"/>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Almost all children in the provision, including disabled children, those who have special educational needs, those for whom the setting receives additional funding and the most able, are making substantial and sustained progress that leads to outstanding achievement. </w:t>
            </w:r>
          </w:p>
          <w:p w:rsidR="005C0D78" w:rsidRPr="003D34E4" w:rsidRDefault="005C0D78" w:rsidP="005C0D78">
            <w:pPr>
              <w:pStyle w:val="ListParagraph"/>
              <w:numPr>
                <w:ilvl w:val="0"/>
                <w:numId w:val="19"/>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Gaps between the attainment of groups of children in the setting, including those for whom the setting receives additional funding, have closed or are closing rapidly. Any differences between outcomes in different areas of learning are closing.</w:t>
            </w:r>
          </w:p>
          <w:p w:rsidR="005C0D78" w:rsidRPr="003D34E4" w:rsidRDefault="005C0D78" w:rsidP="005C0D78">
            <w:pPr>
              <w:pStyle w:val="ListParagraph"/>
              <w:numPr>
                <w:ilvl w:val="0"/>
                <w:numId w:val="19"/>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Children are highly motivated and very eager to join in. They consistently demonstrate the characteristics of effective learning. </w:t>
            </w:r>
          </w:p>
        </w:tc>
      </w:tr>
    </w:tbl>
    <w:p w:rsidR="005C0D78" w:rsidRPr="005C0D78" w:rsidRDefault="005C0D78" w:rsidP="005C0D78">
      <w:pPr>
        <w:rPr>
          <w:rFonts w:cs="Arial"/>
          <w:sz w:val="16"/>
          <w:szCs w:val="16"/>
        </w:rPr>
      </w:pPr>
    </w:p>
    <w:p w:rsidR="005C0D78" w:rsidRPr="003E7A3F" w:rsidRDefault="005C0D78" w:rsidP="005C0D78">
      <w:pPr>
        <w:keepNext/>
        <w:tabs>
          <w:tab w:val="left" w:pos="737"/>
        </w:tabs>
        <w:spacing w:before="120" w:after="240" w:line="280" w:lineRule="exact"/>
        <w:outlineLvl w:val="1"/>
        <w:rPr>
          <w:rFonts w:eastAsia="Times New Roman" w:cs="Arial"/>
          <w:b/>
          <w:sz w:val="28"/>
          <w:szCs w:val="28"/>
          <w:lang w:eastAsia="en-GB"/>
        </w:rPr>
      </w:pPr>
      <w:bookmarkStart w:id="7" w:name="_Toc429133600"/>
      <w:r w:rsidRPr="003E7A3F">
        <w:rPr>
          <w:rFonts w:eastAsia="Times New Roman" w:cs="Arial"/>
          <w:b/>
          <w:sz w:val="28"/>
          <w:szCs w:val="28"/>
          <w:lang w:eastAsia="en-GB"/>
        </w:rPr>
        <w:t>Grade descriptors for overall effectiveness</w:t>
      </w:r>
      <w:bookmarkEnd w:id="7"/>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5C0D78" w:rsidRPr="003E7A3F" w:rsidTr="005C0D78">
        <w:tc>
          <w:tcPr>
            <w:tcW w:w="9497" w:type="dxa"/>
            <w:shd w:val="clear" w:color="auto" w:fill="auto"/>
          </w:tcPr>
          <w:p w:rsidR="005C0D78" w:rsidRPr="003E7A3F" w:rsidRDefault="005C0D78" w:rsidP="005026A8">
            <w:pPr>
              <w:spacing w:before="60" w:after="60" w:line="240" w:lineRule="auto"/>
              <w:contextualSpacing/>
              <w:rPr>
                <w:rFonts w:eastAsia="Times New Roman" w:cs="Arial"/>
                <w:b/>
                <w:color w:val="000000"/>
                <w:szCs w:val="24"/>
              </w:rPr>
            </w:pPr>
            <w:r w:rsidRPr="003E7A3F">
              <w:rPr>
                <w:rFonts w:eastAsia="Times New Roman" w:cs="Arial"/>
                <w:b/>
                <w:color w:val="000000"/>
                <w:szCs w:val="24"/>
                <w:highlight w:val="yellow"/>
              </w:rPr>
              <w:t>Outstanding (1)</w:t>
            </w:r>
          </w:p>
          <w:p w:rsidR="005C0D78" w:rsidRPr="003D34E4" w:rsidRDefault="005C0D78" w:rsidP="005C0D78">
            <w:pPr>
              <w:pStyle w:val="ListParagraph"/>
              <w:numPr>
                <w:ilvl w:val="0"/>
                <w:numId w:val="25"/>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The quality of teaching, learning and assessment is outstanding. </w:t>
            </w:r>
          </w:p>
          <w:p w:rsidR="005C0D78" w:rsidRPr="003D34E4" w:rsidRDefault="005C0D78" w:rsidP="005C0D78">
            <w:pPr>
              <w:pStyle w:val="ListParagraph"/>
              <w:numPr>
                <w:ilvl w:val="0"/>
                <w:numId w:val="25"/>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All other key judgements are likely to be outstanding. In exceptional circumstances, one of the key judgements may be good as long as there is convincing evidence that this area is improving rapidly and securely towards outstanding. </w:t>
            </w:r>
          </w:p>
          <w:p w:rsidR="005C0D78" w:rsidRPr="003D34E4" w:rsidRDefault="005C0D78" w:rsidP="005C0D78">
            <w:pPr>
              <w:pStyle w:val="ListParagraph"/>
              <w:numPr>
                <w:ilvl w:val="0"/>
                <w:numId w:val="25"/>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 xml:space="preserve">Safeguarding is effective. </w:t>
            </w:r>
          </w:p>
          <w:p w:rsidR="005C0D78" w:rsidRPr="003D34E4" w:rsidRDefault="005C0D78" w:rsidP="005C0D78">
            <w:pPr>
              <w:pStyle w:val="ListParagraph"/>
              <w:numPr>
                <w:ilvl w:val="0"/>
                <w:numId w:val="25"/>
              </w:numPr>
              <w:tabs>
                <w:tab w:val="left" w:pos="567"/>
                <w:tab w:val="num" w:pos="927"/>
              </w:tabs>
              <w:spacing w:before="60" w:after="60" w:line="240" w:lineRule="auto"/>
              <w:rPr>
                <w:rFonts w:eastAsia="Times New Roman" w:cs="Arial"/>
                <w:color w:val="000000"/>
                <w:szCs w:val="24"/>
              </w:rPr>
            </w:pPr>
            <w:r w:rsidRPr="003D34E4">
              <w:rPr>
                <w:rFonts w:eastAsia="Times New Roman" w:cs="Arial"/>
                <w:color w:val="000000"/>
                <w:szCs w:val="24"/>
              </w:rPr>
              <w:t>There are no breaches of statutory requirements.</w:t>
            </w:r>
          </w:p>
        </w:tc>
      </w:tr>
    </w:tbl>
    <w:p w:rsidR="005C0D78" w:rsidRPr="003D34E4" w:rsidRDefault="005C0D78" w:rsidP="005C0D78">
      <w:pPr>
        <w:rPr>
          <w:rFonts w:cs="Arial"/>
          <w:szCs w:val="24"/>
        </w:rPr>
      </w:pPr>
    </w:p>
    <w:p w:rsidR="00A82EB8" w:rsidRPr="005C0D78" w:rsidRDefault="005C0D78" w:rsidP="005C0D78">
      <w:pPr>
        <w:rPr>
          <w:rFonts w:cs="Arial"/>
          <w:i/>
          <w:szCs w:val="24"/>
        </w:rPr>
      </w:pPr>
      <w:r w:rsidRPr="003D34E4">
        <w:rPr>
          <w:rFonts w:cs="Arial"/>
          <w:i/>
          <w:szCs w:val="24"/>
        </w:rPr>
        <w:t xml:space="preserve">Taken from ‘Early Years Inspection Handbook’ August 2015 no. 150068.  Please refer to the full document on </w:t>
      </w:r>
      <w:hyperlink r:id="rId9" w:history="1">
        <w:r w:rsidRPr="003D34E4">
          <w:rPr>
            <w:rStyle w:val="Hyperlink"/>
            <w:rFonts w:cs="Arial"/>
            <w:i/>
            <w:szCs w:val="24"/>
          </w:rPr>
          <w:t>www.gov.uk</w:t>
        </w:r>
      </w:hyperlink>
      <w:r w:rsidRPr="003D34E4">
        <w:rPr>
          <w:rFonts w:cs="Arial"/>
          <w:i/>
          <w:szCs w:val="24"/>
        </w:rPr>
        <w:t xml:space="preserve"> for further support and information </w:t>
      </w:r>
      <w:r>
        <w:rPr>
          <w:rFonts w:cs="Arial"/>
          <w:i/>
          <w:szCs w:val="24"/>
        </w:rPr>
        <w:t>on the inspection process</w:t>
      </w:r>
      <w:r w:rsidR="00755584">
        <w:rPr>
          <w:rFonts w:cs="Arial"/>
          <w:i/>
          <w:szCs w:val="24"/>
        </w:rPr>
        <w:t>.</w:t>
      </w:r>
      <w:r w:rsidR="008C0B25">
        <w:tab/>
      </w:r>
    </w:p>
    <w:sectPr w:rsidR="00A82EB8" w:rsidRPr="005C0D78" w:rsidSect="005C0D78">
      <w:footerReference w:type="default" r:id="rId10"/>
      <w:footerReference w:type="first" r:id="rId11"/>
      <w:pgSz w:w="11906" w:h="16838"/>
      <w:pgMar w:top="567" w:right="964" w:bottom="1418"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21" w:rsidRDefault="00595959" w:rsidP="00545521">
    <w:pPr>
      <w:pStyle w:val="Footer"/>
      <w:jc w:val="right"/>
    </w:pPr>
    <w:r>
      <w:rPr>
        <w:noProof/>
        <w:lang w:eastAsia="en-GB"/>
      </w:rPr>
      <w:drawing>
        <wp:anchor distT="0" distB="0" distL="114300" distR="114300" simplePos="0" relativeHeight="251666432" behindDoc="1" locked="0" layoutInCell="1" allowOverlap="1" wp14:anchorId="1E347398" wp14:editId="5D4355B3">
          <wp:simplePos x="0" y="0"/>
          <wp:positionH relativeFrom="column">
            <wp:posOffset>-307340</wp:posOffset>
          </wp:positionH>
          <wp:positionV relativeFrom="paragraph">
            <wp:posOffset>6985</wp:posOffset>
          </wp:positionV>
          <wp:extent cx="2047875" cy="643255"/>
          <wp:effectExtent l="0" t="0" r="9525" b="4445"/>
          <wp:wrapThrough wrapText="bothSides">
            <wp:wrapPolygon edited="0">
              <wp:start x="0" y="0"/>
              <wp:lineTo x="0" y="21110"/>
              <wp:lineTo x="21500" y="21110"/>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204787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545521">
      <w:rPr>
        <w:noProof/>
        <w:color w:val="000000" w:themeColor="text1"/>
        <w:sz w:val="28"/>
        <w:lang w:eastAsia="en-GB"/>
      </w:rPr>
      <w:drawing>
        <wp:inline distT="0" distB="0" distL="0" distR="0" wp14:anchorId="3861FC71" wp14:editId="221E3A38">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74507"/>
      <w:docPartObj>
        <w:docPartGallery w:val="Page Numbers (Bottom of Page)"/>
        <w:docPartUnique/>
      </w:docPartObj>
    </w:sdtPr>
    <w:sdtEndPr>
      <w:rPr>
        <w:noProof/>
      </w:rPr>
    </w:sdtEndPr>
    <w:sdtContent>
      <w:p w:rsidR="008C0B25" w:rsidRDefault="00595959">
        <w:pPr>
          <w:pStyle w:val="Footer"/>
          <w:jc w:val="center"/>
        </w:pPr>
        <w:r>
          <w:rPr>
            <w:noProof/>
            <w:lang w:eastAsia="en-GB"/>
          </w:rPr>
          <w:drawing>
            <wp:anchor distT="0" distB="0" distL="114300" distR="114300" simplePos="0" relativeHeight="251664384" behindDoc="1" locked="0" layoutInCell="1" allowOverlap="1" wp14:anchorId="7AF3A9FC" wp14:editId="70CD1ACF">
              <wp:simplePos x="0" y="0"/>
              <wp:positionH relativeFrom="column">
                <wp:posOffset>45085</wp:posOffset>
              </wp:positionH>
              <wp:positionV relativeFrom="paragraph">
                <wp:posOffset>8890</wp:posOffset>
              </wp:positionV>
              <wp:extent cx="2047875" cy="643255"/>
              <wp:effectExtent l="0" t="0" r="9525" b="4445"/>
              <wp:wrapThrough wrapText="bothSides">
                <wp:wrapPolygon edited="0">
                  <wp:start x="0" y="0"/>
                  <wp:lineTo x="0" y="21110"/>
                  <wp:lineTo x="21500" y="21110"/>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204787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0B25">
          <w:rPr>
            <w:noProof/>
            <w:lang w:eastAsia="en-GB"/>
          </w:rPr>
          <w:drawing>
            <wp:anchor distT="0" distB="0" distL="114300" distR="114300" simplePos="0" relativeHeight="251662336" behindDoc="1" locked="0" layoutInCell="1" allowOverlap="1" wp14:anchorId="466F5D63" wp14:editId="395E8A7D">
              <wp:simplePos x="0" y="0"/>
              <wp:positionH relativeFrom="column">
                <wp:posOffset>4503420</wp:posOffset>
              </wp:positionH>
              <wp:positionV relativeFrom="paragraph">
                <wp:posOffset>142240</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sidR="008C0B25">
          <w:fldChar w:fldCharType="begin"/>
        </w:r>
        <w:r w:rsidR="008C0B25">
          <w:instrText xml:space="preserve"> PAGE   \* MERGEFORMAT </w:instrText>
        </w:r>
        <w:r w:rsidR="008C0B25">
          <w:fldChar w:fldCharType="separate"/>
        </w:r>
        <w:r>
          <w:rPr>
            <w:noProof/>
          </w:rPr>
          <w:t>1</w:t>
        </w:r>
        <w:r w:rsidR="008C0B25">
          <w:rPr>
            <w:noProof/>
          </w:rPr>
          <w:fldChar w:fldCharType="end"/>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946A6"/>
    <w:multiLevelType w:val="hybridMultilevel"/>
    <w:tmpl w:val="3EA2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366EB"/>
    <w:multiLevelType w:val="hybridMultilevel"/>
    <w:tmpl w:val="1FFE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4">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00D48"/>
    <w:multiLevelType w:val="hybridMultilevel"/>
    <w:tmpl w:val="569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810925"/>
    <w:multiLevelType w:val="hybridMultilevel"/>
    <w:tmpl w:val="F09C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2A3494"/>
    <w:multiLevelType w:val="hybridMultilevel"/>
    <w:tmpl w:val="92B4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69F38E3"/>
    <w:multiLevelType w:val="hybridMultilevel"/>
    <w:tmpl w:val="4DE2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D6EFB"/>
    <w:multiLevelType w:val="hybridMultilevel"/>
    <w:tmpl w:val="CA82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415C21"/>
    <w:multiLevelType w:val="hybridMultilevel"/>
    <w:tmpl w:val="47C2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DA32DB"/>
    <w:multiLevelType w:val="hybridMultilevel"/>
    <w:tmpl w:val="828A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8"/>
  </w:num>
  <w:num w:numId="4">
    <w:abstractNumId w:val="4"/>
  </w:num>
  <w:num w:numId="5">
    <w:abstractNumId w:val="19"/>
  </w:num>
  <w:num w:numId="6">
    <w:abstractNumId w:val="5"/>
  </w:num>
  <w:num w:numId="7">
    <w:abstractNumId w:val="13"/>
  </w:num>
  <w:num w:numId="8">
    <w:abstractNumId w:val="10"/>
  </w:num>
  <w:num w:numId="9">
    <w:abstractNumId w:val="15"/>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3"/>
  </w:num>
  <w:num w:numId="14">
    <w:abstractNumId w:val="11"/>
  </w:num>
  <w:num w:numId="15">
    <w:abstractNumId w:val="0"/>
  </w:num>
  <w:num w:numId="16">
    <w:abstractNumId w:val="21"/>
  </w:num>
  <w:num w:numId="17">
    <w:abstractNumId w:val="2"/>
  </w:num>
  <w:num w:numId="18">
    <w:abstractNumId w:val="14"/>
  </w:num>
  <w:num w:numId="19">
    <w:abstractNumId w:val="23"/>
  </w:num>
  <w:num w:numId="20">
    <w:abstractNumId w:val="1"/>
  </w:num>
  <w:num w:numId="21">
    <w:abstractNumId w:val="24"/>
  </w:num>
  <w:num w:numId="22">
    <w:abstractNumId w:val="7"/>
  </w:num>
  <w:num w:numId="23">
    <w:abstractNumId w:val="22"/>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5D"/>
    <w:rsid w:val="00021441"/>
    <w:rsid w:val="000B4DE1"/>
    <w:rsid w:val="000B57D4"/>
    <w:rsid w:val="000C44D5"/>
    <w:rsid w:val="000E2AEB"/>
    <w:rsid w:val="00102871"/>
    <w:rsid w:val="00126433"/>
    <w:rsid w:val="001538EA"/>
    <w:rsid w:val="00176F9F"/>
    <w:rsid w:val="001A5B15"/>
    <w:rsid w:val="001B6C84"/>
    <w:rsid w:val="001F5A53"/>
    <w:rsid w:val="0023206A"/>
    <w:rsid w:val="00242392"/>
    <w:rsid w:val="00250463"/>
    <w:rsid w:val="002648BA"/>
    <w:rsid w:val="00282955"/>
    <w:rsid w:val="002C0C60"/>
    <w:rsid w:val="002D7E4C"/>
    <w:rsid w:val="00315276"/>
    <w:rsid w:val="00321B26"/>
    <w:rsid w:val="00327216"/>
    <w:rsid w:val="00362BED"/>
    <w:rsid w:val="00380C42"/>
    <w:rsid w:val="003E369F"/>
    <w:rsid w:val="00426AE4"/>
    <w:rsid w:val="00440603"/>
    <w:rsid w:val="00461A5D"/>
    <w:rsid w:val="00491804"/>
    <w:rsid w:val="004A18CC"/>
    <w:rsid w:val="004B62F4"/>
    <w:rsid w:val="00501F3C"/>
    <w:rsid w:val="00545521"/>
    <w:rsid w:val="005544BC"/>
    <w:rsid w:val="00574282"/>
    <w:rsid w:val="0058594D"/>
    <w:rsid w:val="00592D53"/>
    <w:rsid w:val="00595959"/>
    <w:rsid w:val="005B0BEA"/>
    <w:rsid w:val="005C0D78"/>
    <w:rsid w:val="005E0737"/>
    <w:rsid w:val="005F6181"/>
    <w:rsid w:val="00617ADF"/>
    <w:rsid w:val="00640364"/>
    <w:rsid w:val="006465F7"/>
    <w:rsid w:val="00680E01"/>
    <w:rsid w:val="006A3F6D"/>
    <w:rsid w:val="006B228C"/>
    <w:rsid w:val="006D2CB1"/>
    <w:rsid w:val="006E7ED0"/>
    <w:rsid w:val="00713BB5"/>
    <w:rsid w:val="00741FA6"/>
    <w:rsid w:val="00755584"/>
    <w:rsid w:val="00760881"/>
    <w:rsid w:val="007A1E55"/>
    <w:rsid w:val="007A6E12"/>
    <w:rsid w:val="007C1DDC"/>
    <w:rsid w:val="00814314"/>
    <w:rsid w:val="008C0B25"/>
    <w:rsid w:val="008D0C7D"/>
    <w:rsid w:val="00953C25"/>
    <w:rsid w:val="00954197"/>
    <w:rsid w:val="009E0B72"/>
    <w:rsid w:val="00A20DE7"/>
    <w:rsid w:val="00A33136"/>
    <w:rsid w:val="00A82EB8"/>
    <w:rsid w:val="00AB6AA9"/>
    <w:rsid w:val="00AE2847"/>
    <w:rsid w:val="00B06CDE"/>
    <w:rsid w:val="00B143AB"/>
    <w:rsid w:val="00B17E26"/>
    <w:rsid w:val="00B41D82"/>
    <w:rsid w:val="00B42EDA"/>
    <w:rsid w:val="00B71630"/>
    <w:rsid w:val="00B804A6"/>
    <w:rsid w:val="00B90949"/>
    <w:rsid w:val="00B92469"/>
    <w:rsid w:val="00C2183A"/>
    <w:rsid w:val="00C47B8C"/>
    <w:rsid w:val="00C772A2"/>
    <w:rsid w:val="00CA4AE6"/>
    <w:rsid w:val="00CE3A6E"/>
    <w:rsid w:val="00D80971"/>
    <w:rsid w:val="00DA6850"/>
    <w:rsid w:val="00DA73E2"/>
    <w:rsid w:val="00DC2564"/>
    <w:rsid w:val="00E5024B"/>
    <w:rsid w:val="00E82C96"/>
    <w:rsid w:val="00E96E6D"/>
    <w:rsid w:val="00EA4AEA"/>
    <w:rsid w:val="00EB4AE9"/>
    <w:rsid w:val="00ED6CA9"/>
    <w:rsid w:val="00EF0DBD"/>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7766-4F1C-4925-B7DF-AC4B3FE1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CB8E9EAE</Template>
  <TotalTime>4</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julie.edwards</cp:lastModifiedBy>
  <cp:revision>5</cp:revision>
  <cp:lastPrinted>2015-09-24T14:40:00Z</cp:lastPrinted>
  <dcterms:created xsi:type="dcterms:W3CDTF">2017-01-06T14:02:00Z</dcterms:created>
  <dcterms:modified xsi:type="dcterms:W3CDTF">2017-08-24T13:39:00Z</dcterms:modified>
</cp:coreProperties>
</file>