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FBE4" w14:textId="77777777" w:rsidR="00EF7EC0" w:rsidRPr="001D5333" w:rsidRDefault="00EF7EC0" w:rsidP="00F86A86">
      <w:pPr>
        <w:ind w:left="-142"/>
        <w:jc w:val="center"/>
        <w:rPr>
          <w:sz w:val="28"/>
          <w:szCs w:val="28"/>
          <w14:textOutline w14:w="5080" w14:cap="flat" w14:cmpd="sng" w14:algn="ctr">
            <w14:noFill/>
            <w14:prstDash w14:val="solid"/>
            <w14:round/>
          </w14:textOutline>
        </w:rPr>
      </w:pPr>
      <w:r w:rsidRPr="008C048E">
        <w:rPr>
          <w:rFonts w:ascii="Arial" w:hAnsi="Arial" w:cs="Arial"/>
          <w:sz w:val="40"/>
          <w:szCs w:val="48"/>
          <w14:textOutline w14:w="5080" w14:cap="flat" w14:cmpd="sng" w14:algn="ctr">
            <w14:noFill/>
            <w14:prstDash w14:val="solid"/>
            <w14:round/>
          </w14:textOutline>
        </w:rPr>
        <w:t>EYFS observation: free-flow session</w:t>
      </w:r>
      <w:r w:rsidRPr="001D5333">
        <w:rPr>
          <w:sz w:val="40"/>
          <w:szCs w:val="48"/>
          <w14:textOutline w14:w="5080" w14:cap="flat" w14:cmpd="sng" w14:algn="ctr">
            <w14:noFill/>
            <w14:prstDash w14:val="solid"/>
            <w14:round/>
          </w14:textOutline>
        </w:rPr>
        <w:br/>
      </w:r>
      <w:r w:rsidRPr="008C048E">
        <w:rPr>
          <w:rFonts w:ascii="Arial" w:hAnsi="Arial" w:cs="Arial"/>
          <w:sz w:val="28"/>
          <w:szCs w:val="28"/>
          <w14:textOutline w14:w="5080" w14:cap="flat" w14:cmpd="sng" w14:algn="ctr">
            <w14:noFill/>
            <w14:prstDash w14:val="solid"/>
            <w14:round/>
          </w14:textOutline>
        </w:rPr>
        <w:t>Child-led and adult-initiated learning</w:t>
      </w:r>
    </w:p>
    <w:tbl>
      <w:tblPr>
        <w:tblStyle w:val="TableGrid"/>
        <w:tblW w:w="0" w:type="auto"/>
        <w:tblCellMar>
          <w:top w:w="57" w:type="dxa"/>
          <w:bottom w:w="57" w:type="dxa"/>
        </w:tblCellMar>
        <w:tblLook w:val="04A0" w:firstRow="1" w:lastRow="0" w:firstColumn="1" w:lastColumn="0" w:noHBand="0" w:noVBand="1"/>
      </w:tblPr>
      <w:tblGrid>
        <w:gridCol w:w="5224"/>
        <w:gridCol w:w="5232"/>
      </w:tblGrid>
      <w:tr w:rsidR="00EF7EC0" w14:paraId="32D55C5A" w14:textId="77777777" w:rsidTr="00D17461">
        <w:tc>
          <w:tcPr>
            <w:tcW w:w="5341" w:type="dxa"/>
          </w:tcPr>
          <w:p w14:paraId="20AC2429" w14:textId="77777777" w:rsidR="00EF7EC0" w:rsidRPr="008C048E" w:rsidRDefault="00EF7EC0" w:rsidP="00D17461">
            <w:pPr>
              <w:rPr>
                <w:rFonts w:ascii="Arial" w:hAnsi="Arial" w:cs="Arial"/>
              </w:rPr>
            </w:pPr>
            <w:r w:rsidRPr="008C048E">
              <w:rPr>
                <w:rFonts w:ascii="Arial" w:hAnsi="Arial" w:cs="Arial"/>
                <w:b/>
              </w:rPr>
              <w:t>Name of teacher</w:t>
            </w:r>
            <w:r w:rsidRPr="008C048E">
              <w:rPr>
                <w:rFonts w:ascii="Arial" w:hAnsi="Arial" w:cs="Arial"/>
              </w:rPr>
              <w:t>:</w:t>
            </w:r>
          </w:p>
          <w:p w14:paraId="06F3F391" w14:textId="77777777" w:rsidR="00EF7EC0" w:rsidRPr="008C048E" w:rsidRDefault="00EF7EC0" w:rsidP="00D17461">
            <w:pPr>
              <w:rPr>
                <w:rFonts w:ascii="Arial" w:hAnsi="Arial" w:cs="Arial"/>
              </w:rPr>
            </w:pPr>
            <w:r w:rsidRPr="008C048E">
              <w:rPr>
                <w:rFonts w:ascii="Arial" w:hAnsi="Arial" w:cs="Arial"/>
                <w:b/>
              </w:rPr>
              <w:t>Number of children</w:t>
            </w:r>
            <w:r w:rsidRPr="008C048E">
              <w:rPr>
                <w:rFonts w:ascii="Arial" w:hAnsi="Arial" w:cs="Arial"/>
              </w:rPr>
              <w:t>:</w:t>
            </w:r>
          </w:p>
          <w:p w14:paraId="57D3BDC4" w14:textId="77777777" w:rsidR="00EF7EC0" w:rsidRPr="008C048E" w:rsidRDefault="00EF7EC0" w:rsidP="00D17461">
            <w:pPr>
              <w:rPr>
                <w:rFonts w:ascii="Arial" w:hAnsi="Arial" w:cs="Arial"/>
              </w:rPr>
            </w:pPr>
            <w:r w:rsidRPr="008C048E">
              <w:rPr>
                <w:rFonts w:ascii="Arial" w:hAnsi="Arial" w:cs="Arial"/>
                <w:b/>
              </w:rPr>
              <w:t>Age range of children</w:t>
            </w:r>
            <w:r w:rsidRPr="008C048E">
              <w:rPr>
                <w:rFonts w:ascii="Arial" w:hAnsi="Arial" w:cs="Arial"/>
              </w:rPr>
              <w:t xml:space="preserve">: </w:t>
            </w:r>
          </w:p>
        </w:tc>
        <w:tc>
          <w:tcPr>
            <w:tcW w:w="5341" w:type="dxa"/>
          </w:tcPr>
          <w:p w14:paraId="7123FBF7" w14:textId="77777777" w:rsidR="00EF7EC0" w:rsidRPr="008C048E" w:rsidRDefault="00EF7EC0" w:rsidP="00D17461">
            <w:pPr>
              <w:rPr>
                <w:rFonts w:ascii="Arial" w:hAnsi="Arial" w:cs="Arial"/>
                <w:sz w:val="20"/>
                <w:szCs w:val="20"/>
              </w:rPr>
            </w:pPr>
            <w:r w:rsidRPr="008C048E">
              <w:rPr>
                <w:rFonts w:ascii="Arial" w:hAnsi="Arial" w:cs="Arial"/>
                <w:b/>
                <w:sz w:val="20"/>
                <w:szCs w:val="20"/>
              </w:rPr>
              <w:t xml:space="preserve">Observer: </w:t>
            </w:r>
          </w:p>
          <w:p w14:paraId="0C8624ED" w14:textId="77777777" w:rsidR="00EF7EC0" w:rsidRPr="008C048E" w:rsidRDefault="00EF7EC0" w:rsidP="00D17461">
            <w:pPr>
              <w:rPr>
                <w:rFonts w:ascii="Arial" w:hAnsi="Arial" w:cs="Arial"/>
                <w:sz w:val="20"/>
                <w:szCs w:val="20"/>
              </w:rPr>
            </w:pPr>
            <w:r w:rsidRPr="008C048E">
              <w:rPr>
                <w:rFonts w:ascii="Arial" w:hAnsi="Arial" w:cs="Arial"/>
                <w:b/>
                <w:sz w:val="20"/>
                <w:szCs w:val="20"/>
              </w:rPr>
              <w:t>Focus of teaching:</w:t>
            </w:r>
          </w:p>
          <w:p w14:paraId="114344AF" w14:textId="77777777" w:rsidR="00EF7EC0" w:rsidRPr="008C048E" w:rsidRDefault="00EF7EC0" w:rsidP="00D17461">
            <w:pPr>
              <w:rPr>
                <w:rFonts w:ascii="Arial" w:hAnsi="Arial" w:cs="Arial"/>
                <w:sz w:val="20"/>
                <w:szCs w:val="20"/>
              </w:rPr>
            </w:pPr>
            <w:r w:rsidRPr="008C048E">
              <w:rPr>
                <w:rFonts w:ascii="Arial" w:hAnsi="Arial" w:cs="Arial"/>
                <w:b/>
                <w:sz w:val="20"/>
                <w:szCs w:val="20"/>
              </w:rPr>
              <w:t>Focus of observation:</w:t>
            </w:r>
          </w:p>
          <w:p w14:paraId="5CAEA3F9" w14:textId="77777777" w:rsidR="00EF7EC0" w:rsidRPr="008C048E" w:rsidRDefault="00EF7EC0" w:rsidP="00D17461">
            <w:pPr>
              <w:rPr>
                <w:rFonts w:ascii="Arial" w:hAnsi="Arial" w:cs="Arial"/>
                <w:sz w:val="20"/>
                <w:szCs w:val="20"/>
              </w:rPr>
            </w:pPr>
            <w:r w:rsidRPr="008C048E">
              <w:rPr>
                <w:rFonts w:ascii="Arial" w:hAnsi="Arial" w:cs="Arial"/>
                <w:b/>
                <w:sz w:val="20"/>
                <w:szCs w:val="20"/>
              </w:rPr>
              <w:t xml:space="preserve">Date: </w:t>
            </w:r>
          </w:p>
        </w:tc>
      </w:tr>
    </w:tbl>
    <w:p w14:paraId="6DBFC0C2" w14:textId="583B24CD" w:rsidR="00A209B9" w:rsidRPr="008C048E" w:rsidRDefault="00A209B9" w:rsidP="00EF7EC0">
      <w:r>
        <w:t xml:space="preserve">                                                                                              </w:t>
      </w:r>
      <w:bookmarkStart w:id="0" w:name="_GoBack"/>
      <w:bookmarkEnd w:id="0"/>
      <w:r>
        <w:t xml:space="preserve">             </w:t>
      </w:r>
      <w:r w:rsidRPr="00A209B9">
        <w:rPr>
          <w:sz w:val="28"/>
          <w:szCs w:val="28"/>
        </w:rPr>
        <w:t xml:space="preserve">                </w:t>
      </w:r>
      <w:r>
        <w:rPr>
          <w:sz w:val="28"/>
          <w:szCs w:val="28"/>
        </w:rPr>
        <w:t xml:space="preserve">       </w:t>
      </w:r>
    </w:p>
    <w:tbl>
      <w:tblPr>
        <w:tblStyle w:val="TableGrid"/>
        <w:tblW w:w="0" w:type="auto"/>
        <w:tblCellMar>
          <w:top w:w="57" w:type="dxa"/>
          <w:bottom w:w="57" w:type="dxa"/>
        </w:tblCellMar>
        <w:tblLook w:val="04A0" w:firstRow="1" w:lastRow="0" w:firstColumn="1" w:lastColumn="0" w:noHBand="0" w:noVBand="1"/>
      </w:tblPr>
      <w:tblGrid>
        <w:gridCol w:w="4390"/>
        <w:gridCol w:w="3118"/>
        <w:gridCol w:w="2948"/>
      </w:tblGrid>
      <w:tr w:rsidR="00A209B9" w14:paraId="3F697220" w14:textId="77777777" w:rsidTr="008C048E">
        <w:trPr>
          <w:trHeight w:val="562"/>
        </w:trPr>
        <w:tc>
          <w:tcPr>
            <w:tcW w:w="4390" w:type="dxa"/>
          </w:tcPr>
          <w:p w14:paraId="7052D4B3" w14:textId="77777777" w:rsidR="00A209B9" w:rsidRPr="001C7346" w:rsidRDefault="00A209B9" w:rsidP="00A209B9">
            <w:pPr>
              <w:rPr>
                <w:b/>
                <w:color w:val="8064A2" w:themeColor="accent4"/>
              </w:rPr>
            </w:pPr>
          </w:p>
        </w:tc>
        <w:tc>
          <w:tcPr>
            <w:tcW w:w="3118" w:type="dxa"/>
          </w:tcPr>
          <w:p w14:paraId="34B6CB8B" w14:textId="77777777" w:rsidR="00A209B9" w:rsidRPr="0060542A" w:rsidRDefault="00A209B9" w:rsidP="00A209B9">
            <w:pPr>
              <w:jc w:val="center"/>
              <w:rPr>
                <w:b/>
                <w:color w:val="7030A0"/>
                <w:sz w:val="24"/>
                <w:szCs w:val="24"/>
              </w:rPr>
            </w:pPr>
            <w:r w:rsidRPr="0060542A">
              <w:rPr>
                <w:b/>
                <w:color w:val="7030A0"/>
                <w:sz w:val="24"/>
                <w:szCs w:val="24"/>
              </w:rPr>
              <w:t>Strengths</w:t>
            </w:r>
          </w:p>
        </w:tc>
        <w:tc>
          <w:tcPr>
            <w:tcW w:w="2948" w:type="dxa"/>
          </w:tcPr>
          <w:p w14:paraId="63AB585A" w14:textId="77777777" w:rsidR="00A209B9" w:rsidRPr="0060542A" w:rsidRDefault="00A209B9" w:rsidP="00A209B9">
            <w:pPr>
              <w:jc w:val="center"/>
              <w:rPr>
                <w:b/>
                <w:color w:val="7030A0"/>
                <w:sz w:val="24"/>
                <w:szCs w:val="24"/>
              </w:rPr>
            </w:pPr>
            <w:r w:rsidRPr="0060542A">
              <w:rPr>
                <w:b/>
                <w:color w:val="7030A0"/>
                <w:sz w:val="24"/>
                <w:szCs w:val="24"/>
              </w:rPr>
              <w:t>Areas for development</w:t>
            </w:r>
          </w:p>
        </w:tc>
      </w:tr>
      <w:tr w:rsidR="00A209B9" w:rsidRPr="008C048E" w14:paraId="45988D11" w14:textId="77777777" w:rsidTr="008C048E">
        <w:trPr>
          <w:trHeight w:val="1121"/>
        </w:trPr>
        <w:tc>
          <w:tcPr>
            <w:tcW w:w="4390" w:type="dxa"/>
          </w:tcPr>
          <w:p w14:paraId="4B4C1203" w14:textId="77777777" w:rsidR="00A209B9" w:rsidRPr="008C048E" w:rsidRDefault="00A209B9" w:rsidP="00A209B9">
            <w:pPr>
              <w:rPr>
                <w:rFonts w:ascii="Arial" w:hAnsi="Arial" w:cs="Arial"/>
                <w:b/>
                <w:color w:val="7030A0"/>
              </w:rPr>
            </w:pPr>
            <w:r w:rsidRPr="008C048E">
              <w:rPr>
                <w:rFonts w:ascii="Arial" w:hAnsi="Arial" w:cs="Arial"/>
                <w:b/>
                <w:color w:val="7030A0"/>
              </w:rPr>
              <w:t>Attitude and approach</w:t>
            </w:r>
          </w:p>
          <w:p w14:paraId="405BD581" w14:textId="77777777" w:rsidR="00A209B9" w:rsidRPr="008C048E" w:rsidRDefault="00A209B9" w:rsidP="00A209B9">
            <w:pPr>
              <w:rPr>
                <w:rFonts w:ascii="Arial" w:hAnsi="Arial" w:cs="Arial"/>
              </w:rPr>
            </w:pPr>
            <w:r w:rsidRPr="008C048E">
              <w:rPr>
                <w:rFonts w:ascii="Arial" w:hAnsi="Arial" w:cs="Arial"/>
              </w:rPr>
              <w:t>Adults and children have high expectations of and celebrate child initiated learning.</w:t>
            </w:r>
          </w:p>
        </w:tc>
        <w:tc>
          <w:tcPr>
            <w:tcW w:w="3118" w:type="dxa"/>
          </w:tcPr>
          <w:p w14:paraId="1E1A9C98" w14:textId="77777777" w:rsidR="00A209B9" w:rsidRPr="008C048E" w:rsidRDefault="00A209B9" w:rsidP="00A209B9">
            <w:pPr>
              <w:rPr>
                <w:rFonts w:ascii="Arial" w:hAnsi="Arial" w:cs="Arial"/>
              </w:rPr>
            </w:pPr>
          </w:p>
          <w:p w14:paraId="7DF627D1" w14:textId="77777777" w:rsidR="00A209B9" w:rsidRPr="008C048E" w:rsidRDefault="00A209B9" w:rsidP="00A209B9">
            <w:pPr>
              <w:rPr>
                <w:rFonts w:ascii="Arial" w:hAnsi="Arial" w:cs="Arial"/>
              </w:rPr>
            </w:pPr>
          </w:p>
        </w:tc>
        <w:tc>
          <w:tcPr>
            <w:tcW w:w="2948" w:type="dxa"/>
          </w:tcPr>
          <w:p w14:paraId="67626A65" w14:textId="77777777" w:rsidR="00A209B9" w:rsidRPr="008C048E" w:rsidRDefault="00A209B9" w:rsidP="00A209B9">
            <w:pPr>
              <w:rPr>
                <w:rFonts w:ascii="Arial" w:hAnsi="Arial" w:cs="Arial"/>
              </w:rPr>
            </w:pPr>
          </w:p>
        </w:tc>
      </w:tr>
      <w:tr w:rsidR="00A209B9" w:rsidRPr="008C048E" w14:paraId="4CAF8CF0" w14:textId="77777777" w:rsidTr="008C048E">
        <w:trPr>
          <w:trHeight w:val="2494"/>
        </w:trPr>
        <w:tc>
          <w:tcPr>
            <w:tcW w:w="4390" w:type="dxa"/>
          </w:tcPr>
          <w:p w14:paraId="08689FFE" w14:textId="77777777" w:rsidR="00A209B9" w:rsidRPr="008C048E" w:rsidRDefault="00A209B9" w:rsidP="00A209B9">
            <w:pPr>
              <w:rPr>
                <w:rFonts w:ascii="Arial" w:hAnsi="Arial" w:cs="Arial"/>
                <w:b/>
                <w:color w:val="7030A0"/>
              </w:rPr>
            </w:pPr>
            <w:r w:rsidRPr="008C048E">
              <w:rPr>
                <w:rFonts w:ascii="Arial" w:hAnsi="Arial" w:cs="Arial"/>
                <w:b/>
                <w:color w:val="7030A0"/>
              </w:rPr>
              <w:t>How well does the learning environment support adult initiated learning?</w:t>
            </w:r>
          </w:p>
          <w:p w14:paraId="30CE8C72" w14:textId="77777777" w:rsidR="00A209B9" w:rsidRPr="008C048E" w:rsidRDefault="00A209B9" w:rsidP="00A209B9">
            <w:pPr>
              <w:rPr>
                <w:rFonts w:ascii="Arial" w:hAnsi="Arial" w:cs="Arial"/>
              </w:rPr>
            </w:pPr>
            <w:r w:rsidRPr="008C048E">
              <w:rPr>
                <w:rFonts w:ascii="Arial" w:hAnsi="Arial" w:cs="Arial"/>
              </w:rPr>
              <w:t xml:space="preserve">Impact of recent teaching on learning within the child initiated environment. </w:t>
            </w:r>
          </w:p>
          <w:p w14:paraId="7EEEBB97" w14:textId="77777777" w:rsidR="00A209B9" w:rsidRPr="008C048E" w:rsidRDefault="00A209B9" w:rsidP="00A209B9">
            <w:pPr>
              <w:rPr>
                <w:rFonts w:ascii="Arial" w:hAnsi="Arial" w:cs="Arial"/>
              </w:rPr>
            </w:pPr>
            <w:r w:rsidRPr="008C048E">
              <w:rPr>
                <w:rFonts w:ascii="Arial" w:hAnsi="Arial" w:cs="Arial"/>
              </w:rPr>
              <w:t xml:space="preserve">Evidence of children using recently modelled skills, knowledge and attitudes. </w:t>
            </w:r>
          </w:p>
          <w:p w14:paraId="279F8951" w14:textId="77777777" w:rsidR="00A209B9" w:rsidRPr="008C048E" w:rsidRDefault="00A209B9" w:rsidP="00A209B9">
            <w:pPr>
              <w:rPr>
                <w:rFonts w:ascii="Arial" w:hAnsi="Arial" w:cs="Arial"/>
              </w:rPr>
            </w:pPr>
            <w:r w:rsidRPr="008C048E">
              <w:rPr>
                <w:rFonts w:ascii="Arial" w:hAnsi="Arial" w:cs="Arial"/>
              </w:rPr>
              <w:t xml:space="preserve">Evidence that environment is supporting children’s next steps in learning (differentiated opportunities available). </w:t>
            </w:r>
          </w:p>
          <w:p w14:paraId="2E63ACD6" w14:textId="77777777" w:rsidR="00A209B9" w:rsidRPr="008C048E" w:rsidRDefault="00A209B9" w:rsidP="00A209B9">
            <w:pPr>
              <w:rPr>
                <w:rFonts w:ascii="Arial" w:hAnsi="Arial" w:cs="Arial"/>
              </w:rPr>
            </w:pPr>
            <w:r w:rsidRPr="008C048E">
              <w:rPr>
                <w:rFonts w:ascii="Arial" w:hAnsi="Arial" w:cs="Arial"/>
              </w:rPr>
              <w:t>Evidence of children’s learning being aided by the use of visuals and prompts in the environment. (e.g. phonic charts, alphabet frieze, number tracks, number lines, 100 square, word banks, ‘tricky words’, visual success criteria).</w:t>
            </w:r>
          </w:p>
        </w:tc>
        <w:tc>
          <w:tcPr>
            <w:tcW w:w="3118" w:type="dxa"/>
          </w:tcPr>
          <w:p w14:paraId="40EA615D" w14:textId="77777777" w:rsidR="00A209B9" w:rsidRPr="008C048E" w:rsidRDefault="00A209B9" w:rsidP="00A209B9">
            <w:pPr>
              <w:rPr>
                <w:rFonts w:ascii="Arial" w:hAnsi="Arial" w:cs="Arial"/>
              </w:rPr>
            </w:pPr>
          </w:p>
        </w:tc>
        <w:tc>
          <w:tcPr>
            <w:tcW w:w="2948" w:type="dxa"/>
          </w:tcPr>
          <w:p w14:paraId="7AA5FB88" w14:textId="77777777" w:rsidR="00A209B9" w:rsidRPr="008C048E" w:rsidRDefault="00A209B9" w:rsidP="00A209B9">
            <w:pPr>
              <w:rPr>
                <w:rFonts w:ascii="Arial" w:hAnsi="Arial" w:cs="Arial"/>
              </w:rPr>
            </w:pPr>
          </w:p>
        </w:tc>
      </w:tr>
      <w:tr w:rsidR="00A209B9" w:rsidRPr="008C048E" w14:paraId="2F9D0F9E" w14:textId="77777777" w:rsidTr="008C048E">
        <w:trPr>
          <w:trHeight w:val="1625"/>
        </w:trPr>
        <w:tc>
          <w:tcPr>
            <w:tcW w:w="4390" w:type="dxa"/>
          </w:tcPr>
          <w:p w14:paraId="05BEA8D6" w14:textId="77777777" w:rsidR="00A209B9" w:rsidRPr="008C048E" w:rsidRDefault="00A209B9" w:rsidP="00A209B9">
            <w:pPr>
              <w:rPr>
                <w:rFonts w:ascii="Arial" w:eastAsia="Times New Roman" w:hAnsi="Arial" w:cs="Arial"/>
                <w:color w:val="7030A0"/>
              </w:rPr>
            </w:pPr>
            <w:r w:rsidRPr="008C048E">
              <w:rPr>
                <w:rFonts w:ascii="Arial" w:eastAsia="Times New Roman" w:hAnsi="Arial" w:cs="Arial"/>
                <w:b/>
                <w:color w:val="7030A0"/>
              </w:rPr>
              <w:t>How are the needs of vulnerable groups met?</w:t>
            </w:r>
            <w:r w:rsidRPr="008C048E">
              <w:rPr>
                <w:rFonts w:ascii="Arial" w:eastAsia="Times New Roman" w:hAnsi="Arial" w:cs="Arial"/>
                <w:color w:val="7030A0"/>
              </w:rPr>
              <w:t xml:space="preserve"> </w:t>
            </w:r>
          </w:p>
          <w:p w14:paraId="7E5FBE74" w14:textId="1D120C62" w:rsidR="00A209B9" w:rsidRPr="008C048E" w:rsidRDefault="00A209B9" w:rsidP="00A209B9">
            <w:pPr>
              <w:rPr>
                <w:rFonts w:ascii="Arial" w:eastAsia="Times New Roman" w:hAnsi="Arial" w:cs="Arial"/>
              </w:rPr>
            </w:pPr>
            <w:r w:rsidRPr="008C048E">
              <w:rPr>
                <w:rFonts w:ascii="Arial" w:eastAsia="Times New Roman" w:hAnsi="Arial" w:cs="Arial"/>
              </w:rPr>
              <w:t>Comment on progress of girls, boys, SEND, EAL, most-able, G</w:t>
            </w:r>
            <w:r w:rsidR="008C048E" w:rsidRPr="008C048E">
              <w:rPr>
                <w:rFonts w:ascii="Arial" w:eastAsia="Times New Roman" w:hAnsi="Arial" w:cs="Arial"/>
              </w:rPr>
              <w:t>RT</w:t>
            </w:r>
            <w:r w:rsidRPr="008C048E">
              <w:rPr>
                <w:rFonts w:ascii="Arial" w:eastAsia="Times New Roman" w:hAnsi="Arial" w:cs="Arial"/>
              </w:rPr>
              <w:t xml:space="preserve">, pupil premium. * </w:t>
            </w:r>
          </w:p>
          <w:p w14:paraId="3A1A687E" w14:textId="77777777" w:rsidR="00A209B9" w:rsidRPr="008C048E" w:rsidRDefault="00A209B9" w:rsidP="00A209B9">
            <w:pPr>
              <w:rPr>
                <w:rFonts w:ascii="Arial" w:eastAsia="Times New Roman" w:hAnsi="Arial" w:cs="Arial"/>
              </w:rPr>
            </w:pPr>
            <w:r w:rsidRPr="008C048E">
              <w:rPr>
                <w:rFonts w:ascii="Arial" w:eastAsia="Times New Roman" w:hAnsi="Arial" w:cs="Arial"/>
              </w:rPr>
              <w:t>*Indicate focus groups</w:t>
            </w:r>
          </w:p>
        </w:tc>
        <w:tc>
          <w:tcPr>
            <w:tcW w:w="3118" w:type="dxa"/>
          </w:tcPr>
          <w:p w14:paraId="22278976" w14:textId="77777777" w:rsidR="00A209B9" w:rsidRPr="008C048E" w:rsidRDefault="00A209B9" w:rsidP="00A209B9">
            <w:pPr>
              <w:rPr>
                <w:rFonts w:ascii="Arial" w:hAnsi="Arial" w:cs="Arial"/>
              </w:rPr>
            </w:pPr>
          </w:p>
        </w:tc>
        <w:tc>
          <w:tcPr>
            <w:tcW w:w="2948" w:type="dxa"/>
          </w:tcPr>
          <w:p w14:paraId="61D1259E" w14:textId="77777777" w:rsidR="00A209B9" w:rsidRPr="008C048E" w:rsidRDefault="00A209B9" w:rsidP="00A209B9">
            <w:pPr>
              <w:rPr>
                <w:rFonts w:ascii="Arial" w:hAnsi="Arial" w:cs="Arial"/>
              </w:rPr>
            </w:pPr>
          </w:p>
        </w:tc>
      </w:tr>
      <w:tr w:rsidR="00A209B9" w:rsidRPr="008C048E" w14:paraId="4267F6CA" w14:textId="77777777" w:rsidTr="008C048E">
        <w:trPr>
          <w:trHeight w:val="2494"/>
        </w:trPr>
        <w:tc>
          <w:tcPr>
            <w:tcW w:w="4390" w:type="dxa"/>
          </w:tcPr>
          <w:p w14:paraId="376CE57C" w14:textId="77777777" w:rsidR="00A209B9" w:rsidRPr="008C048E" w:rsidRDefault="00A209B9" w:rsidP="00A209B9">
            <w:pPr>
              <w:rPr>
                <w:rFonts w:ascii="Arial" w:hAnsi="Arial" w:cs="Arial"/>
                <w:b/>
                <w:color w:val="8064A2" w:themeColor="accent4"/>
              </w:rPr>
            </w:pPr>
            <w:r w:rsidRPr="008C048E">
              <w:rPr>
                <w:rFonts w:ascii="Arial" w:hAnsi="Arial" w:cs="Arial"/>
                <w:b/>
                <w:color w:val="8064A2" w:themeColor="accent4"/>
              </w:rPr>
              <w:t xml:space="preserve">Behaviour for learning: </w:t>
            </w:r>
          </w:p>
          <w:p w14:paraId="67AC8BA7" w14:textId="77777777" w:rsidR="00A209B9" w:rsidRPr="008C048E" w:rsidRDefault="00A209B9" w:rsidP="00A209B9">
            <w:pPr>
              <w:rPr>
                <w:rFonts w:ascii="Arial" w:hAnsi="Arial" w:cs="Arial"/>
                <w:b/>
                <w:color w:val="8064A2" w:themeColor="accent4"/>
              </w:rPr>
            </w:pPr>
            <w:r w:rsidRPr="008C048E">
              <w:rPr>
                <w:rFonts w:ascii="Arial" w:hAnsi="Arial" w:cs="Arial"/>
              </w:rPr>
              <w:t>Warm, caring relationships between adults and children.</w:t>
            </w:r>
          </w:p>
          <w:p w14:paraId="61767C0E" w14:textId="77777777" w:rsidR="00A209B9" w:rsidRPr="008C048E" w:rsidRDefault="00A209B9" w:rsidP="00A209B9">
            <w:pPr>
              <w:rPr>
                <w:rFonts w:ascii="Arial" w:hAnsi="Arial" w:cs="Arial"/>
              </w:rPr>
            </w:pPr>
            <w:r w:rsidRPr="008C048E">
              <w:rPr>
                <w:rFonts w:ascii="Arial" w:hAnsi="Arial" w:cs="Arial"/>
              </w:rPr>
              <w:t xml:space="preserve">Positive behaviour management strategies used. </w:t>
            </w:r>
          </w:p>
          <w:p w14:paraId="1981FEA1" w14:textId="77777777" w:rsidR="00A209B9" w:rsidRPr="008C048E" w:rsidRDefault="00A209B9" w:rsidP="00A209B9">
            <w:pPr>
              <w:rPr>
                <w:rFonts w:ascii="Arial" w:hAnsi="Arial" w:cs="Arial"/>
              </w:rPr>
            </w:pPr>
            <w:r w:rsidRPr="008C048E">
              <w:rPr>
                <w:rFonts w:ascii="Arial" w:hAnsi="Arial" w:cs="Arial"/>
              </w:rPr>
              <w:t>Staff model positive attitudes and behaviour</w:t>
            </w:r>
          </w:p>
          <w:p w14:paraId="2B121C4A" w14:textId="77777777" w:rsidR="00A209B9" w:rsidRPr="008C048E" w:rsidRDefault="00A209B9" w:rsidP="00A209B9">
            <w:pPr>
              <w:rPr>
                <w:rFonts w:ascii="Arial" w:hAnsi="Arial" w:cs="Arial"/>
              </w:rPr>
            </w:pPr>
            <w:r w:rsidRPr="008C048E">
              <w:rPr>
                <w:rFonts w:ascii="Arial" w:hAnsi="Arial" w:cs="Arial"/>
              </w:rPr>
              <w:t xml:space="preserve">Children work co-operatively (discussing, taking turns, sharing resources). </w:t>
            </w:r>
          </w:p>
          <w:p w14:paraId="70D40664" w14:textId="77777777" w:rsidR="00A209B9" w:rsidRPr="008C048E" w:rsidRDefault="00A209B9" w:rsidP="00A209B9">
            <w:pPr>
              <w:rPr>
                <w:rFonts w:ascii="Arial" w:hAnsi="Arial" w:cs="Arial"/>
                <w:u w:val="single"/>
              </w:rPr>
            </w:pPr>
          </w:p>
        </w:tc>
        <w:tc>
          <w:tcPr>
            <w:tcW w:w="3118" w:type="dxa"/>
          </w:tcPr>
          <w:p w14:paraId="11061D6C" w14:textId="77777777" w:rsidR="00A209B9" w:rsidRPr="008C048E" w:rsidRDefault="00A209B9" w:rsidP="00A209B9">
            <w:pPr>
              <w:rPr>
                <w:rFonts w:ascii="Arial" w:hAnsi="Arial" w:cs="Arial"/>
              </w:rPr>
            </w:pPr>
          </w:p>
        </w:tc>
        <w:tc>
          <w:tcPr>
            <w:tcW w:w="2948" w:type="dxa"/>
          </w:tcPr>
          <w:p w14:paraId="32A36BB6" w14:textId="77777777" w:rsidR="00A209B9" w:rsidRPr="008C048E" w:rsidRDefault="00A209B9" w:rsidP="00A209B9">
            <w:pPr>
              <w:rPr>
                <w:rFonts w:ascii="Arial" w:hAnsi="Arial" w:cs="Arial"/>
              </w:rPr>
            </w:pPr>
          </w:p>
        </w:tc>
      </w:tr>
      <w:tr w:rsidR="00A209B9" w:rsidRPr="008C048E" w14:paraId="78B5070D" w14:textId="77777777" w:rsidTr="008C048E">
        <w:trPr>
          <w:trHeight w:val="2494"/>
        </w:trPr>
        <w:tc>
          <w:tcPr>
            <w:tcW w:w="4390" w:type="dxa"/>
          </w:tcPr>
          <w:p w14:paraId="29737CC6" w14:textId="77777777" w:rsidR="00A209B9" w:rsidRPr="008C048E" w:rsidRDefault="00A209B9" w:rsidP="00A209B9">
            <w:pPr>
              <w:rPr>
                <w:rFonts w:ascii="Arial" w:hAnsi="Arial" w:cs="Arial"/>
                <w:b/>
                <w:color w:val="7030A0"/>
              </w:rPr>
            </w:pPr>
            <w:r w:rsidRPr="008C048E">
              <w:rPr>
                <w:rFonts w:ascii="Arial" w:hAnsi="Arial" w:cs="Arial"/>
                <w:b/>
                <w:color w:val="7030A0"/>
              </w:rPr>
              <w:lastRenderedPageBreak/>
              <w:t>How well does the learning environment support child-initiated play?</w:t>
            </w:r>
          </w:p>
          <w:p w14:paraId="4E868627" w14:textId="77777777" w:rsidR="00A209B9" w:rsidRPr="008C048E" w:rsidRDefault="00A209B9" w:rsidP="00A209B9">
            <w:pPr>
              <w:rPr>
                <w:rFonts w:ascii="Arial" w:hAnsi="Arial" w:cs="Arial"/>
              </w:rPr>
            </w:pPr>
            <w:r w:rsidRPr="008C048E">
              <w:rPr>
                <w:rFonts w:ascii="Arial" w:hAnsi="Arial" w:cs="Arial"/>
              </w:rPr>
              <w:t>The indoor and outdoor environments are stimulating, well organised and inviting.</w:t>
            </w:r>
          </w:p>
          <w:p w14:paraId="19D57849" w14:textId="77777777" w:rsidR="00A209B9" w:rsidRPr="008C048E" w:rsidRDefault="00A209B9" w:rsidP="00A209B9">
            <w:pPr>
              <w:rPr>
                <w:rFonts w:ascii="Arial" w:hAnsi="Arial" w:cs="Arial"/>
              </w:rPr>
            </w:pPr>
            <w:r w:rsidRPr="008C048E">
              <w:rPr>
                <w:rFonts w:ascii="Arial" w:hAnsi="Arial" w:cs="Arial"/>
              </w:rPr>
              <w:t>Organisation of resources promotes independence and decision making through possible self-selection both indoors and outdoors (to include: books, blocks, construction, writing, maths, workshop, small world, sand, water, malleable / fine motor, gross motor, role-play, investigation)</w:t>
            </w:r>
          </w:p>
          <w:p w14:paraId="2D745480" w14:textId="1DB91049" w:rsidR="00A209B9" w:rsidRDefault="00A209B9" w:rsidP="00A209B9">
            <w:pPr>
              <w:rPr>
                <w:rFonts w:ascii="Arial" w:hAnsi="Arial" w:cs="Arial"/>
              </w:rPr>
            </w:pPr>
            <w:r w:rsidRPr="008C048E">
              <w:rPr>
                <w:rFonts w:ascii="Arial" w:hAnsi="Arial" w:cs="Arial"/>
              </w:rPr>
              <w:t>Opportunities for children to develop and practise skills and knowledge through appropriately challenging resources.</w:t>
            </w:r>
          </w:p>
          <w:p w14:paraId="5FB2920A" w14:textId="43A35435" w:rsidR="008C048E" w:rsidRPr="008C048E" w:rsidRDefault="008C048E" w:rsidP="00A209B9">
            <w:pPr>
              <w:rPr>
                <w:rFonts w:ascii="Arial" w:hAnsi="Arial" w:cs="Arial"/>
              </w:rPr>
            </w:pPr>
            <w:r w:rsidRPr="008C048E">
              <w:rPr>
                <w:rFonts w:ascii="Arial" w:hAnsi="Arial" w:cs="Arial"/>
              </w:rPr>
              <w:t>Open ended and flexible resources are available</w:t>
            </w:r>
            <w:r>
              <w:rPr>
                <w:rFonts w:ascii="Arial" w:hAnsi="Arial" w:cs="Arial"/>
              </w:rPr>
              <w:t>.</w:t>
            </w:r>
          </w:p>
          <w:p w14:paraId="62DA6D04" w14:textId="77777777" w:rsidR="00A209B9" w:rsidRPr="008C048E" w:rsidRDefault="00A209B9" w:rsidP="00A209B9">
            <w:pPr>
              <w:rPr>
                <w:rFonts w:ascii="Arial" w:hAnsi="Arial" w:cs="Arial"/>
                <w:u w:val="single"/>
              </w:rPr>
            </w:pPr>
            <w:r w:rsidRPr="008C048E">
              <w:rPr>
                <w:rFonts w:ascii="Arial" w:hAnsi="Arial" w:cs="Arial"/>
              </w:rPr>
              <w:t>The environment is inclusive and a variety of resources reflect the diverse needs of all children and their families</w:t>
            </w:r>
            <w:r w:rsidRPr="008C048E">
              <w:rPr>
                <w:rFonts w:ascii="Arial" w:hAnsi="Arial" w:cs="Arial"/>
                <w:b/>
              </w:rPr>
              <w:t xml:space="preserve"> </w:t>
            </w:r>
            <w:r w:rsidRPr="008C048E">
              <w:rPr>
                <w:rFonts w:ascii="Arial" w:hAnsi="Arial" w:cs="Arial"/>
              </w:rPr>
              <w:t>(e.g. evidence of multi-cultural dolls, small world play, jigsaws and images).</w:t>
            </w:r>
          </w:p>
          <w:p w14:paraId="70952D55" w14:textId="77777777" w:rsidR="00A209B9" w:rsidRPr="008C048E" w:rsidRDefault="00A209B9" w:rsidP="00A209B9">
            <w:pPr>
              <w:rPr>
                <w:rFonts w:ascii="Arial" w:hAnsi="Arial" w:cs="Arial"/>
              </w:rPr>
            </w:pPr>
            <w:r w:rsidRPr="008C048E">
              <w:rPr>
                <w:rFonts w:ascii="Arial" w:hAnsi="Arial" w:cs="Arial"/>
              </w:rPr>
              <w:t>There are spaces for children to be quiet/reflect.</w:t>
            </w:r>
          </w:p>
          <w:p w14:paraId="25F911E3" w14:textId="5871C419" w:rsidR="00A209B9" w:rsidRPr="008C048E" w:rsidRDefault="00A209B9" w:rsidP="00A209B9">
            <w:pPr>
              <w:rPr>
                <w:rFonts w:ascii="Arial" w:hAnsi="Arial" w:cs="Arial"/>
              </w:rPr>
            </w:pPr>
            <w:r w:rsidRPr="008C048E">
              <w:rPr>
                <w:rFonts w:ascii="Arial" w:hAnsi="Arial" w:cs="Arial"/>
              </w:rPr>
              <w:t>The environment is rich in text:</w:t>
            </w:r>
            <w:r w:rsidRPr="008C048E">
              <w:rPr>
                <w:rFonts w:ascii="Arial" w:hAnsi="Arial" w:cs="Arial"/>
                <w:b/>
              </w:rPr>
              <w:t xml:space="preserve"> </w:t>
            </w:r>
            <w:r w:rsidRPr="008C048E">
              <w:rPr>
                <w:rFonts w:ascii="Arial" w:hAnsi="Arial" w:cs="Arial"/>
              </w:rPr>
              <w:t>signs, symbols, notices, numbers, words, rhymes, books, pictures and songs.</w:t>
            </w:r>
          </w:p>
          <w:p w14:paraId="1F7CCB46" w14:textId="4A862F75" w:rsidR="008C048E" w:rsidRPr="008C048E" w:rsidRDefault="008C048E" w:rsidP="00A209B9">
            <w:pPr>
              <w:rPr>
                <w:rFonts w:ascii="Arial" w:hAnsi="Arial" w:cs="Arial"/>
              </w:rPr>
            </w:pPr>
            <w:r w:rsidRPr="008C048E">
              <w:rPr>
                <w:rFonts w:ascii="Arial" w:hAnsi="Arial" w:cs="Arial"/>
              </w:rPr>
              <w:t>Displays are used by adults and children to support learning.</w:t>
            </w:r>
          </w:p>
          <w:p w14:paraId="5F2FFC9E" w14:textId="28EFC209" w:rsidR="00A209B9" w:rsidRPr="008C048E" w:rsidRDefault="00A209B9" w:rsidP="00A209B9">
            <w:pPr>
              <w:rPr>
                <w:rFonts w:ascii="Arial" w:hAnsi="Arial" w:cs="Arial"/>
              </w:rPr>
            </w:pPr>
            <w:r w:rsidRPr="008C048E">
              <w:rPr>
                <w:rFonts w:ascii="Arial" w:hAnsi="Arial" w:cs="Arial"/>
              </w:rPr>
              <w:t>Mark-making opportunities are available throughout the</w:t>
            </w:r>
            <w:r w:rsidR="008C048E">
              <w:rPr>
                <w:rFonts w:ascii="Arial" w:hAnsi="Arial" w:cs="Arial"/>
              </w:rPr>
              <w:t xml:space="preserve"> indoor and outdoor environment.</w:t>
            </w:r>
          </w:p>
          <w:p w14:paraId="4EFB1A5B" w14:textId="77777777" w:rsidR="00A209B9" w:rsidRPr="008C048E" w:rsidRDefault="00A209B9" w:rsidP="00A209B9">
            <w:pPr>
              <w:rPr>
                <w:rFonts w:ascii="Arial" w:hAnsi="Arial" w:cs="Arial"/>
              </w:rPr>
            </w:pPr>
          </w:p>
        </w:tc>
        <w:tc>
          <w:tcPr>
            <w:tcW w:w="3118" w:type="dxa"/>
          </w:tcPr>
          <w:p w14:paraId="122EF08D" w14:textId="77777777" w:rsidR="00A209B9" w:rsidRPr="008C048E" w:rsidRDefault="00A209B9" w:rsidP="00A209B9">
            <w:pPr>
              <w:rPr>
                <w:rFonts w:ascii="Arial" w:hAnsi="Arial" w:cs="Arial"/>
              </w:rPr>
            </w:pPr>
          </w:p>
        </w:tc>
        <w:tc>
          <w:tcPr>
            <w:tcW w:w="2948" w:type="dxa"/>
          </w:tcPr>
          <w:p w14:paraId="2DCEFC62" w14:textId="77777777" w:rsidR="00A209B9" w:rsidRPr="008C048E" w:rsidRDefault="00A209B9" w:rsidP="00A209B9">
            <w:pPr>
              <w:rPr>
                <w:rFonts w:ascii="Arial" w:hAnsi="Arial" w:cs="Arial"/>
              </w:rPr>
            </w:pPr>
          </w:p>
        </w:tc>
      </w:tr>
      <w:tr w:rsidR="00A209B9" w:rsidRPr="008C048E" w14:paraId="63A90263" w14:textId="77777777" w:rsidTr="008C048E">
        <w:trPr>
          <w:trHeight w:val="4672"/>
        </w:trPr>
        <w:tc>
          <w:tcPr>
            <w:tcW w:w="4390" w:type="dxa"/>
          </w:tcPr>
          <w:p w14:paraId="53DC7A8D" w14:textId="77777777" w:rsidR="00A209B9" w:rsidRPr="008C048E" w:rsidRDefault="00A209B9" w:rsidP="00A209B9">
            <w:pPr>
              <w:rPr>
                <w:rFonts w:ascii="Arial" w:hAnsi="Arial" w:cs="Arial"/>
                <w:b/>
                <w:color w:val="7030A0"/>
              </w:rPr>
            </w:pPr>
            <w:r w:rsidRPr="008C048E">
              <w:rPr>
                <w:rFonts w:ascii="Arial" w:hAnsi="Arial" w:cs="Arial"/>
                <w:b/>
                <w:color w:val="7030A0"/>
              </w:rPr>
              <w:t>How well do interactions from all adults support children’s learning?</w:t>
            </w:r>
          </w:p>
          <w:p w14:paraId="4C5664BD" w14:textId="77777777" w:rsidR="00A209B9" w:rsidRPr="008C048E" w:rsidRDefault="00A209B9" w:rsidP="00A209B9">
            <w:pPr>
              <w:rPr>
                <w:rFonts w:ascii="Arial" w:hAnsi="Arial" w:cs="Arial"/>
              </w:rPr>
            </w:pPr>
            <w:r w:rsidRPr="008C048E">
              <w:rPr>
                <w:rFonts w:ascii="Arial" w:hAnsi="Arial" w:cs="Arial"/>
              </w:rPr>
              <w:t>Adults have a clear view of their role in supporting and extending children’s learning:</w:t>
            </w:r>
          </w:p>
          <w:p w14:paraId="2963879E" w14:textId="77777777" w:rsidR="00A209B9" w:rsidRPr="008C048E" w:rsidRDefault="00A209B9" w:rsidP="00A209B9">
            <w:pPr>
              <w:numPr>
                <w:ilvl w:val="0"/>
                <w:numId w:val="1"/>
              </w:numPr>
              <w:rPr>
                <w:rFonts w:ascii="Arial" w:hAnsi="Arial" w:cs="Arial"/>
              </w:rPr>
            </w:pPr>
            <w:r w:rsidRPr="008C048E">
              <w:rPr>
                <w:rFonts w:ascii="Arial" w:hAnsi="Arial" w:cs="Arial"/>
              </w:rPr>
              <w:t>communicating and modelling language</w:t>
            </w:r>
          </w:p>
          <w:p w14:paraId="6A5693E2" w14:textId="77777777" w:rsidR="00A209B9" w:rsidRPr="008C048E" w:rsidRDefault="00A209B9" w:rsidP="00A209B9">
            <w:pPr>
              <w:numPr>
                <w:ilvl w:val="0"/>
                <w:numId w:val="1"/>
              </w:numPr>
              <w:rPr>
                <w:rFonts w:ascii="Arial" w:hAnsi="Arial" w:cs="Arial"/>
              </w:rPr>
            </w:pPr>
            <w:r w:rsidRPr="008C048E">
              <w:rPr>
                <w:rFonts w:ascii="Arial" w:hAnsi="Arial" w:cs="Arial"/>
              </w:rPr>
              <w:t>showing</w:t>
            </w:r>
          </w:p>
          <w:p w14:paraId="16743CFD" w14:textId="77777777" w:rsidR="00A209B9" w:rsidRPr="008C048E" w:rsidRDefault="00A209B9" w:rsidP="00A209B9">
            <w:pPr>
              <w:numPr>
                <w:ilvl w:val="0"/>
                <w:numId w:val="1"/>
              </w:numPr>
              <w:rPr>
                <w:rFonts w:ascii="Arial" w:hAnsi="Arial" w:cs="Arial"/>
              </w:rPr>
            </w:pPr>
            <w:r w:rsidRPr="008C048E">
              <w:rPr>
                <w:rFonts w:ascii="Arial" w:hAnsi="Arial" w:cs="Arial"/>
              </w:rPr>
              <w:t>explaining</w:t>
            </w:r>
          </w:p>
          <w:p w14:paraId="0454815E" w14:textId="77777777" w:rsidR="00A209B9" w:rsidRPr="008C048E" w:rsidRDefault="00A209B9" w:rsidP="00A209B9">
            <w:pPr>
              <w:numPr>
                <w:ilvl w:val="0"/>
                <w:numId w:val="1"/>
              </w:numPr>
              <w:rPr>
                <w:rFonts w:ascii="Arial" w:hAnsi="Arial" w:cs="Arial"/>
              </w:rPr>
            </w:pPr>
            <w:r w:rsidRPr="008C048E">
              <w:rPr>
                <w:rFonts w:ascii="Arial" w:hAnsi="Arial" w:cs="Arial"/>
              </w:rPr>
              <w:t>demonstrating</w:t>
            </w:r>
          </w:p>
          <w:p w14:paraId="38F3A341" w14:textId="77777777" w:rsidR="00A209B9" w:rsidRPr="008C048E" w:rsidRDefault="00A209B9" w:rsidP="00A209B9">
            <w:pPr>
              <w:numPr>
                <w:ilvl w:val="0"/>
                <w:numId w:val="1"/>
              </w:numPr>
              <w:rPr>
                <w:rFonts w:ascii="Arial" w:hAnsi="Arial" w:cs="Arial"/>
              </w:rPr>
            </w:pPr>
            <w:r w:rsidRPr="008C048E">
              <w:rPr>
                <w:rFonts w:ascii="Arial" w:hAnsi="Arial" w:cs="Arial"/>
              </w:rPr>
              <w:t>exploring ideas</w:t>
            </w:r>
          </w:p>
          <w:p w14:paraId="75CABF9D" w14:textId="77777777" w:rsidR="00A209B9" w:rsidRPr="008C048E" w:rsidRDefault="00A209B9" w:rsidP="00A209B9">
            <w:pPr>
              <w:numPr>
                <w:ilvl w:val="0"/>
                <w:numId w:val="1"/>
              </w:numPr>
              <w:rPr>
                <w:rFonts w:ascii="Arial" w:hAnsi="Arial" w:cs="Arial"/>
              </w:rPr>
            </w:pPr>
            <w:r w:rsidRPr="008C048E">
              <w:rPr>
                <w:rFonts w:ascii="Arial" w:hAnsi="Arial" w:cs="Arial"/>
              </w:rPr>
              <w:t>encouraging</w:t>
            </w:r>
          </w:p>
          <w:p w14:paraId="7E25E36A" w14:textId="77777777" w:rsidR="00A209B9" w:rsidRPr="008C048E" w:rsidRDefault="00A209B9" w:rsidP="00A209B9">
            <w:pPr>
              <w:numPr>
                <w:ilvl w:val="0"/>
                <w:numId w:val="1"/>
              </w:numPr>
              <w:rPr>
                <w:rFonts w:ascii="Arial" w:hAnsi="Arial" w:cs="Arial"/>
              </w:rPr>
            </w:pPr>
            <w:r w:rsidRPr="008C048E">
              <w:rPr>
                <w:rFonts w:ascii="Arial" w:hAnsi="Arial" w:cs="Arial"/>
              </w:rPr>
              <w:t>questioning</w:t>
            </w:r>
          </w:p>
          <w:p w14:paraId="0E92639B" w14:textId="77777777" w:rsidR="00A209B9" w:rsidRPr="008C048E" w:rsidRDefault="00A209B9" w:rsidP="00A209B9">
            <w:pPr>
              <w:numPr>
                <w:ilvl w:val="0"/>
                <w:numId w:val="1"/>
              </w:numPr>
              <w:rPr>
                <w:rFonts w:ascii="Arial" w:hAnsi="Arial" w:cs="Arial"/>
              </w:rPr>
            </w:pPr>
            <w:r w:rsidRPr="008C048E">
              <w:rPr>
                <w:rFonts w:ascii="Arial" w:hAnsi="Arial" w:cs="Arial"/>
              </w:rPr>
              <w:t>recalling</w:t>
            </w:r>
          </w:p>
          <w:p w14:paraId="2103DBCC" w14:textId="77777777" w:rsidR="00A209B9" w:rsidRPr="008C048E" w:rsidRDefault="00A209B9" w:rsidP="00A209B9">
            <w:pPr>
              <w:numPr>
                <w:ilvl w:val="0"/>
                <w:numId w:val="1"/>
              </w:numPr>
              <w:rPr>
                <w:rFonts w:ascii="Arial" w:hAnsi="Arial" w:cs="Arial"/>
              </w:rPr>
            </w:pPr>
            <w:r w:rsidRPr="008C048E">
              <w:rPr>
                <w:rFonts w:ascii="Arial" w:hAnsi="Arial" w:cs="Arial"/>
              </w:rPr>
              <w:t>providing a narrative for what they are doing</w:t>
            </w:r>
          </w:p>
          <w:p w14:paraId="2C13D436" w14:textId="77777777" w:rsidR="00A209B9" w:rsidRPr="008C048E" w:rsidRDefault="00A209B9" w:rsidP="00A209B9">
            <w:pPr>
              <w:numPr>
                <w:ilvl w:val="0"/>
                <w:numId w:val="1"/>
              </w:numPr>
              <w:rPr>
                <w:rFonts w:ascii="Arial" w:hAnsi="Arial" w:cs="Arial"/>
              </w:rPr>
            </w:pPr>
            <w:r w:rsidRPr="008C048E">
              <w:rPr>
                <w:rFonts w:ascii="Arial" w:hAnsi="Arial" w:cs="Arial"/>
              </w:rPr>
              <w:t>facilitating</w:t>
            </w:r>
          </w:p>
          <w:p w14:paraId="0FC0F0D0" w14:textId="77777777" w:rsidR="00A209B9" w:rsidRPr="008C048E" w:rsidRDefault="00A209B9" w:rsidP="00A209B9">
            <w:pPr>
              <w:numPr>
                <w:ilvl w:val="0"/>
                <w:numId w:val="1"/>
              </w:numPr>
              <w:rPr>
                <w:rFonts w:ascii="Arial" w:hAnsi="Arial" w:cs="Arial"/>
              </w:rPr>
            </w:pPr>
            <w:r w:rsidRPr="008C048E">
              <w:rPr>
                <w:rFonts w:ascii="Arial" w:hAnsi="Arial" w:cs="Arial"/>
              </w:rPr>
              <w:t>setting challenges</w:t>
            </w:r>
          </w:p>
        </w:tc>
        <w:tc>
          <w:tcPr>
            <w:tcW w:w="3118" w:type="dxa"/>
          </w:tcPr>
          <w:p w14:paraId="77E32331" w14:textId="77777777" w:rsidR="00A209B9" w:rsidRPr="008C048E" w:rsidRDefault="00A209B9" w:rsidP="00A209B9">
            <w:pPr>
              <w:rPr>
                <w:rFonts w:ascii="Arial" w:hAnsi="Arial" w:cs="Arial"/>
              </w:rPr>
            </w:pPr>
          </w:p>
        </w:tc>
        <w:tc>
          <w:tcPr>
            <w:tcW w:w="2948" w:type="dxa"/>
          </w:tcPr>
          <w:p w14:paraId="5FCA0184" w14:textId="77777777" w:rsidR="00A209B9" w:rsidRPr="008C048E" w:rsidRDefault="00A209B9" w:rsidP="00A209B9">
            <w:pPr>
              <w:rPr>
                <w:rFonts w:ascii="Arial" w:hAnsi="Arial" w:cs="Arial"/>
              </w:rPr>
            </w:pPr>
          </w:p>
        </w:tc>
      </w:tr>
    </w:tbl>
    <w:p w14:paraId="65CD7D35" w14:textId="77777777" w:rsidR="00EF7EC0" w:rsidRPr="008C048E" w:rsidRDefault="00EF7EC0" w:rsidP="00EF7EC0">
      <w:pPr>
        <w:spacing w:after="0"/>
        <w:rPr>
          <w:rFonts w:ascii="Arial" w:hAnsi="Arial" w:cs="Arial"/>
        </w:rPr>
      </w:pPr>
    </w:p>
    <w:tbl>
      <w:tblPr>
        <w:tblStyle w:val="TableGrid"/>
        <w:tblW w:w="0" w:type="auto"/>
        <w:tblCellMar>
          <w:top w:w="57" w:type="dxa"/>
          <w:bottom w:w="57" w:type="dxa"/>
        </w:tblCellMar>
        <w:tblLook w:val="04A0" w:firstRow="1" w:lastRow="0" w:firstColumn="1" w:lastColumn="0" w:noHBand="0" w:noVBand="1"/>
      </w:tblPr>
      <w:tblGrid>
        <w:gridCol w:w="5256"/>
        <w:gridCol w:w="5200"/>
      </w:tblGrid>
      <w:tr w:rsidR="00EF7EC0" w:rsidRPr="008C048E" w14:paraId="4BF84202" w14:textId="77777777" w:rsidTr="00BE2BAF">
        <w:trPr>
          <w:trHeight w:val="2494"/>
        </w:trPr>
        <w:tc>
          <w:tcPr>
            <w:tcW w:w="5256" w:type="dxa"/>
          </w:tcPr>
          <w:p w14:paraId="17495404" w14:textId="77777777" w:rsidR="00EF7EC0" w:rsidRPr="008C048E" w:rsidRDefault="00EF7EC0" w:rsidP="00D17461">
            <w:pPr>
              <w:rPr>
                <w:rFonts w:ascii="Arial" w:hAnsi="Arial" w:cs="Arial"/>
                <w:u w:val="single"/>
              </w:rPr>
            </w:pPr>
            <w:r w:rsidRPr="008C048E">
              <w:rPr>
                <w:rFonts w:ascii="Arial" w:hAnsi="Arial" w:cs="Arial"/>
                <w:u w:val="single"/>
              </w:rPr>
              <w:lastRenderedPageBreak/>
              <w:t>Evidence of the Characteristics of Effective Learning</w:t>
            </w:r>
          </w:p>
          <w:p w14:paraId="7328D74C" w14:textId="77777777" w:rsidR="00EF7EC0" w:rsidRPr="008C048E" w:rsidRDefault="00EF7EC0" w:rsidP="00D17461">
            <w:pPr>
              <w:rPr>
                <w:rFonts w:ascii="Arial" w:hAnsi="Arial" w:cs="Arial"/>
                <w:color w:val="7030A0"/>
                <w:u w:val="single"/>
              </w:rPr>
            </w:pPr>
          </w:p>
          <w:p w14:paraId="00D86125" w14:textId="77777777" w:rsidR="00EF7EC0" w:rsidRPr="008C048E" w:rsidRDefault="00EF7EC0" w:rsidP="00D17461">
            <w:pPr>
              <w:rPr>
                <w:rFonts w:ascii="Arial" w:hAnsi="Arial" w:cs="Arial"/>
                <w:b/>
                <w:color w:val="7030A0"/>
                <w:u w:val="single"/>
              </w:rPr>
            </w:pPr>
            <w:r w:rsidRPr="008C048E">
              <w:rPr>
                <w:rFonts w:ascii="Arial" w:hAnsi="Arial" w:cs="Arial"/>
                <w:b/>
                <w:color w:val="7030A0"/>
              </w:rPr>
              <w:t>Opportunities to play and explore:</w:t>
            </w:r>
          </w:p>
          <w:p w14:paraId="08137687" w14:textId="77777777" w:rsidR="00EF7EC0" w:rsidRPr="008C048E" w:rsidRDefault="00EF7EC0" w:rsidP="00D17461">
            <w:pPr>
              <w:rPr>
                <w:rFonts w:ascii="Arial" w:hAnsi="Arial" w:cs="Arial"/>
              </w:rPr>
            </w:pPr>
            <w:r w:rsidRPr="008C048E">
              <w:rPr>
                <w:rFonts w:ascii="Arial" w:hAnsi="Arial" w:cs="Arial"/>
                <w:b/>
              </w:rPr>
              <w:t>Children find out and explore.</w:t>
            </w:r>
            <w:r w:rsidRPr="008C048E">
              <w:rPr>
                <w:rFonts w:ascii="Arial" w:hAnsi="Arial" w:cs="Arial"/>
              </w:rPr>
              <w:t xml:space="preserve"> Children show curiosity, use their senses to explore, engage in open ended activity and show particular interests</w:t>
            </w:r>
          </w:p>
          <w:p w14:paraId="6DB6C15A" w14:textId="77777777" w:rsidR="00EF7EC0" w:rsidRPr="008C048E" w:rsidRDefault="00EF7EC0" w:rsidP="00D17461">
            <w:pPr>
              <w:rPr>
                <w:rFonts w:ascii="Arial" w:hAnsi="Arial" w:cs="Arial"/>
              </w:rPr>
            </w:pPr>
            <w:r w:rsidRPr="008C048E">
              <w:rPr>
                <w:rFonts w:ascii="Arial" w:hAnsi="Arial" w:cs="Arial"/>
                <w:b/>
              </w:rPr>
              <w:t xml:space="preserve">Children play with what they know. </w:t>
            </w:r>
            <w:r w:rsidRPr="008C048E">
              <w:rPr>
                <w:rFonts w:ascii="Arial" w:hAnsi="Arial" w:cs="Arial"/>
              </w:rPr>
              <w:t>They pretend objects are things form their own experience, represent their experiences in play, take on a role in their play and act out experiences with other people.</w:t>
            </w:r>
          </w:p>
          <w:p w14:paraId="17249AC3" w14:textId="77777777" w:rsidR="00EF7EC0" w:rsidRPr="008C048E" w:rsidRDefault="00EF7EC0" w:rsidP="00D17461">
            <w:pPr>
              <w:rPr>
                <w:rFonts w:ascii="Arial" w:hAnsi="Arial" w:cs="Arial"/>
              </w:rPr>
            </w:pPr>
            <w:r w:rsidRPr="008C048E">
              <w:rPr>
                <w:rFonts w:ascii="Arial" w:hAnsi="Arial" w:cs="Arial"/>
                <w:b/>
              </w:rPr>
              <w:t>Children are willing to have a go</w:t>
            </w:r>
            <w:r w:rsidRPr="008C048E">
              <w:rPr>
                <w:rFonts w:ascii="Arial" w:hAnsi="Arial" w:cs="Arial"/>
              </w:rPr>
              <w:t>. They initiate activities, seek challenge, show a can do attitude and take risks engaging in new experiences and learning by trial and error.</w:t>
            </w:r>
          </w:p>
        </w:tc>
        <w:tc>
          <w:tcPr>
            <w:tcW w:w="5200" w:type="dxa"/>
          </w:tcPr>
          <w:p w14:paraId="7251ECD9" w14:textId="77777777" w:rsidR="00EF7EC0" w:rsidRPr="008C048E" w:rsidRDefault="00EF7EC0" w:rsidP="00D17461">
            <w:pPr>
              <w:rPr>
                <w:rFonts w:ascii="Arial" w:hAnsi="Arial" w:cs="Arial"/>
              </w:rPr>
            </w:pPr>
          </w:p>
        </w:tc>
      </w:tr>
      <w:tr w:rsidR="00EF7EC0" w:rsidRPr="008C048E" w14:paraId="01A37423" w14:textId="77777777" w:rsidTr="00BE2BAF">
        <w:trPr>
          <w:trHeight w:val="2494"/>
        </w:trPr>
        <w:tc>
          <w:tcPr>
            <w:tcW w:w="5256" w:type="dxa"/>
          </w:tcPr>
          <w:p w14:paraId="0E092643" w14:textId="77777777" w:rsidR="00EF7EC0" w:rsidRPr="008C048E" w:rsidRDefault="00EF7EC0" w:rsidP="00D17461">
            <w:pPr>
              <w:rPr>
                <w:rFonts w:ascii="Arial" w:hAnsi="Arial" w:cs="Arial"/>
                <w:b/>
                <w:color w:val="7030A0"/>
              </w:rPr>
            </w:pPr>
            <w:r w:rsidRPr="008C048E">
              <w:rPr>
                <w:rFonts w:ascii="Arial" w:hAnsi="Arial" w:cs="Arial"/>
                <w:b/>
                <w:color w:val="7030A0"/>
              </w:rPr>
              <w:t>Opportunities for active learning:</w:t>
            </w:r>
          </w:p>
          <w:p w14:paraId="100DA286" w14:textId="77777777" w:rsidR="00EF7EC0" w:rsidRPr="008C048E" w:rsidRDefault="00EF7EC0" w:rsidP="00D17461">
            <w:pPr>
              <w:rPr>
                <w:rFonts w:ascii="Arial" w:hAnsi="Arial" w:cs="Arial"/>
              </w:rPr>
            </w:pPr>
            <w:r w:rsidRPr="008C048E">
              <w:rPr>
                <w:rFonts w:ascii="Arial" w:hAnsi="Arial" w:cs="Arial"/>
                <w:b/>
              </w:rPr>
              <w:t>Children are involved and concentrate.</w:t>
            </w:r>
            <w:r w:rsidRPr="008C048E">
              <w:rPr>
                <w:rFonts w:ascii="Arial" w:hAnsi="Arial" w:cs="Arial"/>
              </w:rPr>
              <w:t xml:space="preserve"> Children maintain focus on their activity and concentrate. They show high levels of energy and fascination.  They are not easily distracted and pay attention to details.</w:t>
            </w:r>
          </w:p>
          <w:p w14:paraId="76209B69" w14:textId="77777777" w:rsidR="00EF7EC0" w:rsidRPr="008C048E" w:rsidRDefault="00EF7EC0" w:rsidP="00D17461">
            <w:pPr>
              <w:rPr>
                <w:rFonts w:ascii="Arial" w:hAnsi="Arial" w:cs="Arial"/>
              </w:rPr>
            </w:pPr>
            <w:r w:rsidRPr="008C048E">
              <w:rPr>
                <w:rFonts w:ascii="Arial" w:hAnsi="Arial" w:cs="Arial"/>
                <w:b/>
              </w:rPr>
              <w:t>Children keep on trying</w:t>
            </w:r>
            <w:r w:rsidRPr="008C048E">
              <w:rPr>
                <w:rFonts w:ascii="Arial" w:hAnsi="Arial" w:cs="Arial"/>
              </w:rPr>
              <w:t>. They persist when challenges occur, showing a belief that more effort or a different approach will pay off.  They bounce back after difficulties.</w:t>
            </w:r>
          </w:p>
          <w:p w14:paraId="5BF6F5D7" w14:textId="77777777" w:rsidR="00EF7EC0" w:rsidRPr="008C048E" w:rsidRDefault="00EF7EC0" w:rsidP="00D17461">
            <w:pPr>
              <w:rPr>
                <w:rFonts w:ascii="Arial" w:hAnsi="Arial" w:cs="Arial"/>
              </w:rPr>
            </w:pPr>
            <w:r w:rsidRPr="008C048E">
              <w:rPr>
                <w:rFonts w:ascii="Arial" w:hAnsi="Arial" w:cs="Arial"/>
                <w:b/>
              </w:rPr>
              <w:t xml:space="preserve">Children enjoy achieving what they set out to do. </w:t>
            </w:r>
            <w:r w:rsidRPr="008C048E">
              <w:rPr>
                <w:rFonts w:ascii="Arial" w:hAnsi="Arial" w:cs="Arial"/>
              </w:rPr>
              <w:t>They show satisfaction in their own goals. They are proud when they have accomplished something, not just the end result.  They enjoy meeting challenges for their own sake rather than external rewards or praise.</w:t>
            </w:r>
          </w:p>
        </w:tc>
        <w:tc>
          <w:tcPr>
            <w:tcW w:w="5200" w:type="dxa"/>
          </w:tcPr>
          <w:p w14:paraId="2C422C1F" w14:textId="77777777" w:rsidR="00EF7EC0" w:rsidRPr="008C048E" w:rsidRDefault="00EF7EC0" w:rsidP="00D17461">
            <w:pPr>
              <w:rPr>
                <w:rFonts w:ascii="Arial" w:hAnsi="Arial" w:cs="Arial"/>
              </w:rPr>
            </w:pPr>
          </w:p>
        </w:tc>
      </w:tr>
      <w:tr w:rsidR="00EF7EC0" w:rsidRPr="008C048E" w14:paraId="1AAF9EA6" w14:textId="77777777" w:rsidTr="00BE2BAF">
        <w:trPr>
          <w:trHeight w:val="1216"/>
        </w:trPr>
        <w:tc>
          <w:tcPr>
            <w:tcW w:w="5256" w:type="dxa"/>
          </w:tcPr>
          <w:p w14:paraId="76AB1224" w14:textId="77777777" w:rsidR="00EF7EC0" w:rsidRPr="008C048E" w:rsidRDefault="00EF7EC0" w:rsidP="00D17461">
            <w:pPr>
              <w:rPr>
                <w:rFonts w:ascii="Arial" w:hAnsi="Arial" w:cs="Arial"/>
                <w:b/>
                <w:color w:val="7030A0"/>
              </w:rPr>
            </w:pPr>
            <w:r w:rsidRPr="008C048E">
              <w:rPr>
                <w:rFonts w:ascii="Arial" w:hAnsi="Arial" w:cs="Arial"/>
                <w:b/>
                <w:color w:val="7030A0"/>
              </w:rPr>
              <w:t xml:space="preserve">Opportunities to create and think critically: </w:t>
            </w:r>
          </w:p>
          <w:p w14:paraId="1BE3EE76" w14:textId="77777777" w:rsidR="00EF7EC0" w:rsidRPr="008C048E" w:rsidRDefault="00EF7EC0" w:rsidP="00D17461">
            <w:pPr>
              <w:rPr>
                <w:rFonts w:ascii="Arial" w:hAnsi="Arial" w:cs="Arial"/>
              </w:rPr>
            </w:pPr>
            <w:r w:rsidRPr="008C048E">
              <w:rPr>
                <w:rFonts w:ascii="Arial" w:hAnsi="Arial" w:cs="Arial"/>
                <w:b/>
              </w:rPr>
              <w:t xml:space="preserve">Children have their own ideas. </w:t>
            </w:r>
            <w:r w:rsidRPr="008C048E">
              <w:rPr>
                <w:rFonts w:ascii="Arial" w:hAnsi="Arial" w:cs="Arial"/>
              </w:rPr>
              <w:t>Children think of ideas, find new ways to solve problems and new ways to do things.</w:t>
            </w:r>
          </w:p>
          <w:p w14:paraId="123FDBCB" w14:textId="77777777" w:rsidR="00EF7EC0" w:rsidRPr="008C048E" w:rsidRDefault="00EF7EC0" w:rsidP="00D17461">
            <w:pPr>
              <w:rPr>
                <w:rFonts w:ascii="Arial" w:hAnsi="Arial" w:cs="Arial"/>
              </w:rPr>
            </w:pPr>
            <w:r w:rsidRPr="008C048E">
              <w:rPr>
                <w:rFonts w:ascii="Arial" w:hAnsi="Arial" w:cs="Arial"/>
                <w:b/>
              </w:rPr>
              <w:t xml:space="preserve">Children make links. </w:t>
            </w:r>
            <w:r w:rsidRPr="008C048E">
              <w:rPr>
                <w:rFonts w:ascii="Arial" w:hAnsi="Arial" w:cs="Arial"/>
              </w:rPr>
              <w:t>They notice patterns in their experiences, make predictions, test their ideas and develop ideas of grouping, sequences, cause and effect.</w:t>
            </w:r>
          </w:p>
          <w:p w14:paraId="36DFB3B1" w14:textId="77777777" w:rsidR="00EF7EC0" w:rsidRPr="008C048E" w:rsidRDefault="00EF7EC0" w:rsidP="00D17461">
            <w:pPr>
              <w:rPr>
                <w:rFonts w:ascii="Arial" w:hAnsi="Arial" w:cs="Arial"/>
              </w:rPr>
            </w:pPr>
            <w:r w:rsidRPr="008C048E">
              <w:rPr>
                <w:rFonts w:ascii="Arial" w:hAnsi="Arial" w:cs="Arial"/>
                <w:b/>
              </w:rPr>
              <w:t xml:space="preserve">Children choose ways to do things. </w:t>
            </w:r>
            <w:r w:rsidRPr="008C048E">
              <w:rPr>
                <w:rFonts w:ascii="Arial" w:hAnsi="Arial" w:cs="Arial"/>
              </w:rPr>
              <w:t>Children plan and make decisions about how to approach a task, solve a problem and reach a goal.  They check how well their activities are going, changing strategy as needed.  They review how well the approach has worked.</w:t>
            </w:r>
          </w:p>
        </w:tc>
        <w:tc>
          <w:tcPr>
            <w:tcW w:w="5200" w:type="dxa"/>
          </w:tcPr>
          <w:p w14:paraId="3EFD68F0" w14:textId="77777777" w:rsidR="00EF7EC0" w:rsidRPr="008C048E" w:rsidRDefault="00EF7EC0" w:rsidP="00D17461">
            <w:pPr>
              <w:rPr>
                <w:rFonts w:ascii="Arial" w:hAnsi="Arial" w:cs="Arial"/>
              </w:rPr>
            </w:pPr>
          </w:p>
        </w:tc>
      </w:tr>
    </w:tbl>
    <w:p w14:paraId="5E660984" w14:textId="77777777" w:rsidR="00EF0E65" w:rsidRPr="008C048E" w:rsidRDefault="00EF0E65">
      <w:pPr>
        <w:rPr>
          <w:rFonts w:ascii="Arial" w:hAnsi="Arial" w:cs="Arial"/>
        </w:rPr>
      </w:pPr>
    </w:p>
    <w:sectPr w:rsidR="00EF0E65" w:rsidRPr="008C048E" w:rsidSect="00F86A8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E76F" w14:textId="77777777" w:rsidR="008C048E" w:rsidRDefault="008C048E" w:rsidP="008C048E">
      <w:pPr>
        <w:spacing w:after="0" w:line="240" w:lineRule="auto"/>
      </w:pPr>
      <w:r>
        <w:separator/>
      </w:r>
    </w:p>
  </w:endnote>
  <w:endnote w:type="continuationSeparator" w:id="0">
    <w:p w14:paraId="224D04EF" w14:textId="77777777" w:rsidR="008C048E" w:rsidRDefault="008C048E" w:rsidP="008C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5863" w14:textId="32BD20BF" w:rsidR="008C048E" w:rsidRDefault="008C048E">
    <w:pPr>
      <w:pStyle w:val="Footer"/>
    </w:pPr>
    <w:r>
      <w:rPr>
        <w:noProof/>
        <w:lang w:eastAsia="en-GB"/>
      </w:rPr>
      <w:drawing>
        <wp:anchor distT="0" distB="0" distL="114300" distR="114300" simplePos="0" relativeHeight="251658240" behindDoc="0" locked="0" layoutInCell="1" allowOverlap="1" wp14:anchorId="2E1F108D" wp14:editId="4ADE3989">
          <wp:simplePos x="0" y="0"/>
          <wp:positionH relativeFrom="column">
            <wp:posOffset>4733925</wp:posOffset>
          </wp:positionH>
          <wp:positionV relativeFrom="paragraph">
            <wp:posOffset>206375</wp:posOffset>
          </wp:positionV>
          <wp:extent cx="1798320" cy="384175"/>
          <wp:effectExtent l="0" t="0" r="0" b="0"/>
          <wp:wrapThrough wrapText="bothSides">
            <wp:wrapPolygon edited="0">
              <wp:start x="0" y="0"/>
              <wp:lineTo x="0" y="20350"/>
              <wp:lineTo x="21280" y="20350"/>
              <wp:lineTo x="212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B9D5D50" wp14:editId="1C9E029A">
          <wp:extent cx="1877695" cy="5854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0B4F" w14:textId="77777777" w:rsidR="008C048E" w:rsidRDefault="008C048E" w:rsidP="008C048E">
      <w:pPr>
        <w:spacing w:after="0" w:line="240" w:lineRule="auto"/>
      </w:pPr>
      <w:r>
        <w:separator/>
      </w:r>
    </w:p>
  </w:footnote>
  <w:footnote w:type="continuationSeparator" w:id="0">
    <w:p w14:paraId="19261DA9" w14:textId="77777777" w:rsidR="008C048E" w:rsidRDefault="008C048E" w:rsidP="008C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54C0"/>
    <w:multiLevelType w:val="hybridMultilevel"/>
    <w:tmpl w:val="3210DD3A"/>
    <w:lvl w:ilvl="0" w:tplc="77847D2A">
      <w:start w:val="1"/>
      <w:numFmt w:val="bullet"/>
      <w:lvlText w:val="•"/>
      <w:lvlJc w:val="left"/>
      <w:pPr>
        <w:tabs>
          <w:tab w:val="num" w:pos="720"/>
        </w:tabs>
        <w:ind w:left="720" w:hanging="360"/>
      </w:pPr>
      <w:rPr>
        <w:rFonts w:ascii="Arial" w:hAnsi="Arial" w:hint="default"/>
      </w:rPr>
    </w:lvl>
    <w:lvl w:ilvl="1" w:tplc="43D8082A" w:tentative="1">
      <w:start w:val="1"/>
      <w:numFmt w:val="bullet"/>
      <w:lvlText w:val="•"/>
      <w:lvlJc w:val="left"/>
      <w:pPr>
        <w:tabs>
          <w:tab w:val="num" w:pos="1440"/>
        </w:tabs>
        <w:ind w:left="1440" w:hanging="360"/>
      </w:pPr>
      <w:rPr>
        <w:rFonts w:ascii="Arial" w:hAnsi="Arial" w:hint="default"/>
      </w:rPr>
    </w:lvl>
    <w:lvl w:ilvl="2" w:tplc="6CC08F96" w:tentative="1">
      <w:start w:val="1"/>
      <w:numFmt w:val="bullet"/>
      <w:lvlText w:val="•"/>
      <w:lvlJc w:val="left"/>
      <w:pPr>
        <w:tabs>
          <w:tab w:val="num" w:pos="2160"/>
        </w:tabs>
        <w:ind w:left="2160" w:hanging="360"/>
      </w:pPr>
      <w:rPr>
        <w:rFonts w:ascii="Arial" w:hAnsi="Arial" w:hint="default"/>
      </w:rPr>
    </w:lvl>
    <w:lvl w:ilvl="3" w:tplc="EB1AF382" w:tentative="1">
      <w:start w:val="1"/>
      <w:numFmt w:val="bullet"/>
      <w:lvlText w:val="•"/>
      <w:lvlJc w:val="left"/>
      <w:pPr>
        <w:tabs>
          <w:tab w:val="num" w:pos="2880"/>
        </w:tabs>
        <w:ind w:left="2880" w:hanging="360"/>
      </w:pPr>
      <w:rPr>
        <w:rFonts w:ascii="Arial" w:hAnsi="Arial" w:hint="default"/>
      </w:rPr>
    </w:lvl>
    <w:lvl w:ilvl="4" w:tplc="43A200BA" w:tentative="1">
      <w:start w:val="1"/>
      <w:numFmt w:val="bullet"/>
      <w:lvlText w:val="•"/>
      <w:lvlJc w:val="left"/>
      <w:pPr>
        <w:tabs>
          <w:tab w:val="num" w:pos="3600"/>
        </w:tabs>
        <w:ind w:left="3600" w:hanging="360"/>
      </w:pPr>
      <w:rPr>
        <w:rFonts w:ascii="Arial" w:hAnsi="Arial" w:hint="default"/>
      </w:rPr>
    </w:lvl>
    <w:lvl w:ilvl="5" w:tplc="3B0A3F0E" w:tentative="1">
      <w:start w:val="1"/>
      <w:numFmt w:val="bullet"/>
      <w:lvlText w:val="•"/>
      <w:lvlJc w:val="left"/>
      <w:pPr>
        <w:tabs>
          <w:tab w:val="num" w:pos="4320"/>
        </w:tabs>
        <w:ind w:left="4320" w:hanging="360"/>
      </w:pPr>
      <w:rPr>
        <w:rFonts w:ascii="Arial" w:hAnsi="Arial" w:hint="default"/>
      </w:rPr>
    </w:lvl>
    <w:lvl w:ilvl="6" w:tplc="557CF89C" w:tentative="1">
      <w:start w:val="1"/>
      <w:numFmt w:val="bullet"/>
      <w:lvlText w:val="•"/>
      <w:lvlJc w:val="left"/>
      <w:pPr>
        <w:tabs>
          <w:tab w:val="num" w:pos="5040"/>
        </w:tabs>
        <w:ind w:left="5040" w:hanging="360"/>
      </w:pPr>
      <w:rPr>
        <w:rFonts w:ascii="Arial" w:hAnsi="Arial" w:hint="default"/>
      </w:rPr>
    </w:lvl>
    <w:lvl w:ilvl="7" w:tplc="1F9E4D7C" w:tentative="1">
      <w:start w:val="1"/>
      <w:numFmt w:val="bullet"/>
      <w:lvlText w:val="•"/>
      <w:lvlJc w:val="left"/>
      <w:pPr>
        <w:tabs>
          <w:tab w:val="num" w:pos="5760"/>
        </w:tabs>
        <w:ind w:left="5760" w:hanging="360"/>
      </w:pPr>
      <w:rPr>
        <w:rFonts w:ascii="Arial" w:hAnsi="Arial" w:hint="default"/>
      </w:rPr>
    </w:lvl>
    <w:lvl w:ilvl="8" w:tplc="042A3E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C0"/>
    <w:rsid w:val="001937B4"/>
    <w:rsid w:val="001C7346"/>
    <w:rsid w:val="001D5333"/>
    <w:rsid w:val="00373176"/>
    <w:rsid w:val="004D29F5"/>
    <w:rsid w:val="0060542A"/>
    <w:rsid w:val="006D4DF0"/>
    <w:rsid w:val="00845885"/>
    <w:rsid w:val="008C048E"/>
    <w:rsid w:val="00A209B9"/>
    <w:rsid w:val="00A323F2"/>
    <w:rsid w:val="00B230C5"/>
    <w:rsid w:val="00BC5E47"/>
    <w:rsid w:val="00BE2BAF"/>
    <w:rsid w:val="00CC610E"/>
    <w:rsid w:val="00EF0E65"/>
    <w:rsid w:val="00EF7EC0"/>
    <w:rsid w:val="00F8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92FF1"/>
  <w15:docId w15:val="{8845C35F-A52F-42CC-8860-9EBA58DD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C5"/>
    <w:rPr>
      <w:rFonts w:ascii="Tahoma" w:hAnsi="Tahoma" w:cs="Tahoma"/>
      <w:sz w:val="16"/>
      <w:szCs w:val="16"/>
    </w:rPr>
  </w:style>
  <w:style w:type="paragraph" w:styleId="Header">
    <w:name w:val="header"/>
    <w:basedOn w:val="Normal"/>
    <w:link w:val="HeaderChar"/>
    <w:uiPriority w:val="99"/>
    <w:unhideWhenUsed/>
    <w:rsid w:val="008C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8E"/>
  </w:style>
  <w:style w:type="paragraph" w:styleId="Footer">
    <w:name w:val="footer"/>
    <w:basedOn w:val="Normal"/>
    <w:link w:val="FooterChar"/>
    <w:uiPriority w:val="99"/>
    <w:unhideWhenUsed/>
    <w:rsid w:val="008C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Jennie.Perry</dc:creator>
  <cp:lastModifiedBy>Clarke, Heather - CEF</cp:lastModifiedBy>
  <cp:revision>3</cp:revision>
  <cp:lastPrinted>2016-05-06T08:36:00Z</cp:lastPrinted>
  <dcterms:created xsi:type="dcterms:W3CDTF">2018-01-24T14:24:00Z</dcterms:created>
  <dcterms:modified xsi:type="dcterms:W3CDTF">2018-01-24T14:53:00Z</dcterms:modified>
</cp:coreProperties>
</file>